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FE" w:rsidRPr="00FC7CFE" w:rsidRDefault="00FC7CFE" w:rsidP="00FC7CFE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</w:pPr>
      <w:r w:rsidRPr="00FC7CFE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Нормативные документы в сфере профилактики</w:t>
      </w:r>
    </w:p>
    <w:p w:rsidR="008C5962" w:rsidRDefault="008C5962" w:rsidP="00FC7CFE">
      <w:pPr>
        <w:spacing w:after="0" w:line="240" w:lineRule="auto"/>
        <w:jc w:val="center"/>
        <w:rPr>
          <w:rFonts w:ascii="Segoe UI" w:eastAsia="Times New Roman" w:hAnsi="Segoe UI" w:cs="Segoe UI"/>
          <w:color w:val="999999"/>
          <w:sz w:val="17"/>
          <w:szCs w:val="17"/>
          <w:bdr w:val="none" w:sz="0" w:space="0" w:color="auto" w:frame="1"/>
          <w:lang w:eastAsia="ru-RU"/>
        </w:rPr>
      </w:pPr>
    </w:p>
    <w:p w:rsidR="00FC7CFE" w:rsidRPr="00FC7CFE" w:rsidRDefault="00FC7CFE" w:rsidP="00FC7CFE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bookmarkStart w:id="0" w:name="_GoBack"/>
      <w:bookmarkEnd w:id="0"/>
      <w:r w:rsidRPr="00FC7CFE">
        <w:rPr>
          <w:rFonts w:ascii="Times" w:eastAsia="Times New Roman" w:hAnsi="Times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Нормативно-правовые документы, регламентирующие организацию работы по профилактике наркомании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5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29 декабря 2012 г. №273-ФЗ "Об образовании в Российской Федерации"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6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22 августа 1996 г. №125-ФЗ «О высшем и послевузовском профессиональном образовании»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7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Федеральный закон от 8 января 1998 г. №3-ФЗ «О наркотических средствах и </w:t>
        </w:r>
        <w:proofErr w:type="spellStart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психоактивных</w:t>
        </w:r>
        <w:proofErr w:type="spellEnd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веществах»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8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Российское Федерации от 6 августа 1998 №892 "Об утверждении Правил допуска лиц к работе с наркотическими средствами и психотропными веществами"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9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Постановление Правительства Российской Федерации от 9 июня 2010 г. № 419 "О предоставлении сведений о деятельности, связанной с оборотом </w:t>
        </w:r>
        <w:proofErr w:type="spellStart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прекурсоров</w:t>
        </w:r>
        <w:proofErr w:type="spellEnd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наркотических средств и психотропных веществ, и регистрации операций, связанных с их оборотом"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0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Постановление Правительства Российской Федерации от 20 июня 1998 г. № 681 "Об утверждении перечня наркотических средств, психотропных веществ и их </w:t>
        </w:r>
        <w:proofErr w:type="spellStart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прекурсоров</w:t>
        </w:r>
        <w:proofErr w:type="spellEnd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, подлежащих контролю в Российской Федерации"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1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Постановление Правительства Российской Федерации от 18 августа 2010 г. № 640 "Об утверждении Правил производства, переработки, хранения, реализация, приобретения, использования, перевозки и уничтожения </w:t>
        </w:r>
        <w:proofErr w:type="spellStart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прекурсоров</w:t>
        </w:r>
        <w:proofErr w:type="spellEnd"/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наркотических средств и психотропных веществ"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2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31 декабря 2009 г. № 1148 "О порядке хранения наркотических средств и психотропных веществ"</w:t>
        </w:r>
      </w:hyperlink>
    </w:p>
    <w:p w:rsidR="00FC7CFE" w:rsidRPr="00FC7CFE" w:rsidRDefault="008C5962" w:rsidP="00FC7CFE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3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№690 от 9 июня 2010 года "Об утверждении Стратегии государственной антинаркотической политики Российской Федерации до 2020 года"</w:t>
        </w:r>
      </w:hyperlink>
    </w:p>
    <w:p w:rsidR="00FC7CFE" w:rsidRPr="00FC7CFE" w:rsidRDefault="00FC7CFE" w:rsidP="00FC7CFE">
      <w:pPr>
        <w:spacing w:before="225" w:after="0" w:line="240" w:lineRule="auto"/>
        <w:ind w:firstLine="709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FC7CFE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</w:p>
    <w:p w:rsidR="00FC7CFE" w:rsidRPr="00FC7CFE" w:rsidRDefault="008C5962" w:rsidP="00FC7CF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4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Перечень </w:t>
        </w:r>
        <w:r w:rsidR="00FC7CFE" w:rsidRPr="00FC7CFE">
          <w:rPr>
            <w:rFonts w:ascii="Book Antiqua" w:eastAsia="Times New Roman" w:hAnsi="Book Antiqua" w:cs="Segoe UI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основных нормативных правовых актов, регулирующих правоотношения в сфере профилактики наркомании, токсикомании и алкоголизма</w:t>
        </w:r>
      </w:hyperlink>
    </w:p>
    <w:p w:rsidR="00FC7CFE" w:rsidRPr="00FC7CFE" w:rsidRDefault="00FC7CFE" w:rsidP="00FC7CFE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FC7CFE">
        <w:rPr>
          <w:rFonts w:ascii="Times" w:eastAsia="Times New Roman" w:hAnsi="Times" w:cs="Segoe UI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CFE" w:rsidRPr="00FC7CFE" w:rsidRDefault="00FC7CFE" w:rsidP="00FC7CFE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FC7CFE">
        <w:rPr>
          <w:rFonts w:ascii="Times" w:eastAsia="Times New Roman" w:hAnsi="Times" w:cs="Segoe U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Нормативные документы в сфере профилактики суицидального поведения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5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Конвенция ООН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 о правах ребенка (ст. 6, 8, 16, 27, 28, 29, 30)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6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ФЗ РФ 273-ФЗ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 "Об образовании в Российской </w:t>
      </w:r>
      <w:proofErr w:type="spellStart"/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proofErr w:type="gramStart"/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"о</w:t>
      </w:r>
      <w:proofErr w:type="gramEnd"/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т</w:t>
      </w:r>
      <w:proofErr w:type="spellEnd"/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29 декабря 2012 г.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7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ФЗ РФ  № 124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 «Об основных гарантиях прав ребенка в РФ» статья 14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8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ФЗ РФ № 120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 от 24.06.1999г. «Об основах  системы  профилактики  безнадзорности  и правонарушений  несовершеннолетних»</w:t>
      </w:r>
    </w:p>
    <w:p w:rsidR="00FC7CFE" w:rsidRPr="00FC7CFE" w:rsidRDefault="00FC7CFE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Письмо Министерства образования Российской Федерации «</w:t>
      </w:r>
      <w:hyperlink r:id="rId19" w:history="1">
        <w:r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О мерах по профилактике суицида</w:t>
        </w:r>
      </w:hyperlink>
      <w:r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 среди детей и подростков» от 26.01.2000 г. и от 29.05.2003 г.</w:t>
      </w:r>
    </w:p>
    <w:p w:rsidR="00FC7CFE" w:rsidRPr="00FC7CFE" w:rsidRDefault="00FC7CFE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Письмо Департамента воспитания и социализации детей Министерства образования и науки РФ от 27.02.2012 г. № 06-356 «</w:t>
      </w:r>
      <w:hyperlink r:id="rId20" w:history="1">
        <w:r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О мерах по профилактике суицидального поведения обучающихся</w:t>
        </w:r>
      </w:hyperlink>
      <w:r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1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Федеральная целевая программа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 «Предупреждение и борьба с социально значимыми заболеваниями (2007 – 2012 годы)» (с дополнениями и изменениями), утверждённая Постановлением Правительства Российской Федерации от 10.05.2007 г. № 280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2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План мероприятий Министерства образования и науки РФ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 по профилактике суицидального поведения среди обучающихся образовательных учреждений на 2011 -2015 годы, утв. приказом </w:t>
      </w:r>
      <w:proofErr w:type="spellStart"/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России от 26.10.2011 г. № 2537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3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Уголовный кодекс РФ 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(ст. 117 «Истязание», ст. 110 «Доведение до самоубийства», ст. 131-134 «О преступлениях сексуального характера»)</w:t>
      </w:r>
    </w:p>
    <w:p w:rsidR="00FC7CFE" w:rsidRPr="00FC7CFE" w:rsidRDefault="008C5962" w:rsidP="00FC7CFE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4" w:history="1">
        <w:r w:rsidR="00FC7CFE" w:rsidRPr="00FC7CFE">
          <w:rPr>
            <w:rFonts w:ascii="Book Antiqua" w:eastAsia="Times New Roman" w:hAnsi="Book Antiqua" w:cs="Segoe UI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"Кодекс Российской Федерации</w:t>
        </w:r>
      </w:hyperlink>
      <w:r w:rsidR="00FC7CFE" w:rsidRPr="00FC7CFE">
        <w:rPr>
          <w:rFonts w:ascii="Book Antiqua" w:eastAsia="Times New Roman" w:hAnsi="Book Antiqua" w:cs="Segoe UI"/>
          <w:color w:val="333333"/>
          <w:sz w:val="24"/>
          <w:szCs w:val="24"/>
          <w:bdr w:val="none" w:sz="0" w:space="0" w:color="auto" w:frame="1"/>
          <w:lang w:eastAsia="ru-RU"/>
        </w:rPr>
        <w:t> об административных правонарушениях" (КоАП РФ) от 30.12.2001 N 195-ФЗ (принят ГД ФС РФ 20.12.2001) (действующая редакция от 05.05.2014)  Статья 5.35</w:t>
      </w:r>
    </w:p>
    <w:tbl>
      <w:tblPr>
        <w:tblW w:w="1453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0"/>
        <w:gridCol w:w="45"/>
      </w:tblGrid>
      <w:tr w:rsidR="00C54010" w:rsidRPr="00C54010" w:rsidTr="00C54010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780"/>
              <w:gridCol w:w="1318"/>
              <w:gridCol w:w="780"/>
              <w:gridCol w:w="1130"/>
            </w:tblGrid>
            <w:tr w:rsidR="00C54010" w:rsidRPr="00C54010" w:rsidTr="00C540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010" w:rsidRPr="00C54010" w:rsidRDefault="008C5962" w:rsidP="00C5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6565"/>
                      <w:sz w:val="23"/>
                      <w:szCs w:val="23"/>
                      <w:lang w:eastAsia="ru-RU"/>
                    </w:rPr>
                  </w:pPr>
                  <w:hyperlink r:id="rId25" w:history="1">
                    <w:r w:rsidR="00C54010" w:rsidRPr="00C54010">
                      <w:rPr>
                        <w:rFonts w:ascii="Times New Roman" w:eastAsia="Times New Roman" w:hAnsi="Times New Roman" w:cs="Times New Roman"/>
                        <w:b/>
                        <w:bCs/>
                        <w:color w:val="333333"/>
                        <w:sz w:val="17"/>
                        <w:szCs w:val="17"/>
                        <w:u w:val="single"/>
                        <w:lang w:eastAsia="ru-RU"/>
                      </w:rPr>
                      <w:t>&lt; Предыдущая</w:t>
                    </w:r>
                  </w:hyperlink>
                </w:p>
              </w:tc>
              <w:tc>
                <w:tcPr>
                  <w:tcW w:w="750" w:type="dxa"/>
                  <w:vAlign w:val="center"/>
                  <w:hideMark/>
                </w:tcPr>
                <w:p w:rsidR="00C54010" w:rsidRPr="00C54010" w:rsidRDefault="00C54010" w:rsidP="00C54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56565"/>
                      <w:sz w:val="23"/>
                      <w:szCs w:val="23"/>
                      <w:lang w:eastAsia="ru-RU"/>
                    </w:rPr>
                  </w:pPr>
                  <w:r w:rsidRPr="00C54010">
                    <w:rPr>
                      <w:rFonts w:ascii="Times New Roman" w:eastAsia="Times New Roman" w:hAnsi="Times New Roman" w:cs="Times New Roman"/>
                      <w:color w:val="656565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010" w:rsidRPr="00C54010" w:rsidRDefault="008C5962" w:rsidP="00C5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6565"/>
                      <w:sz w:val="23"/>
                      <w:szCs w:val="23"/>
                      <w:lang w:eastAsia="ru-RU"/>
                    </w:rPr>
                  </w:pPr>
                  <w:hyperlink r:id="rId26" w:history="1">
                    <w:r w:rsidR="00C54010" w:rsidRPr="00C54010">
                      <w:rPr>
                        <w:rFonts w:ascii="Times New Roman" w:eastAsia="Times New Roman" w:hAnsi="Times New Roman" w:cs="Times New Roman"/>
                        <w:b/>
                        <w:bCs/>
                        <w:color w:val="333333"/>
                        <w:sz w:val="17"/>
                        <w:szCs w:val="17"/>
                        <w:u w:val="single"/>
                        <w:lang w:eastAsia="ru-RU"/>
                      </w:rPr>
                      <w:t>СОДЕРЖАНИЕ</w:t>
                    </w:r>
                  </w:hyperlink>
                </w:p>
              </w:tc>
              <w:tc>
                <w:tcPr>
                  <w:tcW w:w="750" w:type="dxa"/>
                  <w:vAlign w:val="center"/>
                  <w:hideMark/>
                </w:tcPr>
                <w:p w:rsidR="00C54010" w:rsidRPr="00C54010" w:rsidRDefault="00C54010" w:rsidP="00C54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56565"/>
                      <w:sz w:val="23"/>
                      <w:szCs w:val="23"/>
                      <w:lang w:eastAsia="ru-RU"/>
                    </w:rPr>
                  </w:pPr>
                  <w:r w:rsidRPr="00C54010">
                    <w:rPr>
                      <w:rFonts w:ascii="Times New Roman" w:eastAsia="Times New Roman" w:hAnsi="Times New Roman" w:cs="Times New Roman"/>
                      <w:color w:val="656565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010" w:rsidRPr="00C54010" w:rsidRDefault="008C5962" w:rsidP="00C5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6565"/>
                      <w:sz w:val="23"/>
                      <w:szCs w:val="23"/>
                      <w:lang w:eastAsia="ru-RU"/>
                    </w:rPr>
                  </w:pPr>
                  <w:hyperlink r:id="rId27" w:history="1">
                    <w:r w:rsidR="00C54010" w:rsidRPr="00C54010">
                      <w:rPr>
                        <w:rFonts w:ascii="Times New Roman" w:eastAsia="Times New Roman" w:hAnsi="Times New Roman" w:cs="Times New Roman"/>
                        <w:b/>
                        <w:bCs/>
                        <w:color w:val="333333"/>
                        <w:sz w:val="17"/>
                        <w:szCs w:val="17"/>
                        <w:u w:val="single"/>
                        <w:lang w:eastAsia="ru-RU"/>
                      </w:rPr>
                      <w:t>Следующая &gt;</w:t>
                    </w:r>
                  </w:hyperlink>
                </w:p>
              </w:tc>
            </w:tr>
          </w:tbl>
          <w:p w:rsidR="00C54010" w:rsidRPr="00C54010" w:rsidRDefault="00C54010" w:rsidP="00C54010">
            <w:pPr>
              <w:spacing w:after="0" w:line="240" w:lineRule="auto"/>
              <w:ind w:firstLine="150"/>
              <w:jc w:val="both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</w:tr>
      <w:tr w:rsidR="00C54010" w:rsidRPr="00C54010" w:rsidTr="00C5401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54010" w:rsidRPr="00C54010" w:rsidRDefault="00C54010" w:rsidP="00C54010">
            <w:pPr>
              <w:spacing w:after="100" w:afterAutospacing="1" w:line="240" w:lineRule="auto"/>
              <w:ind w:firstLine="150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1" w:name="827"/>
            <w:r w:rsidRPr="00C5401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Нормативно - правовое обеспечение социальной работы с детьми группы риска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Российская Федерация, согласно ст. 7 Конституции РФ, является социальным государством. Это означает, что приоритетом в деятельности органов власти и их основной целью должно являться обеспечение условий для свободного развития и достойной жизни граждан. При государственной поддержке стали активно развиваться сети учреждений социального обслуживания населения нового типа, основанные на комплексном подходе.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В настоящее время в России действуют более 150 законодательных и нормативных актов, касающихся охраны детства. 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Основными документами, определяющими и регулирующими отношения между ребенком и государством, являются Конституция РФ от 25 декабря 1993 г. (с изменениями от 30 декабря 2000 г.), и Семейный кодекс РФ от 29 декабря 1995 г. No223-ФЗ, вступивший в силу в 1996 г. В соответствии с ч. 1 ст. 38 Конституции РФ семья, материнство и детство находятся под защитой государства.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Семейный кодекс отражает следующие основные аспекты социальной защиты ребенка: права и обязанности родителей по отношению к детям, особенности юридических и имущественных отношений между родителями и детьми, а также формы воспитания детей, оставшихся без попечения родителей. Следует отметить, что наиболее значимые положения, определяющие нормативно-правовые основы социальной работы с детьми содержатся в различных федеральных законах, президентских указах и других юридических документах. Далее мы рассмотрим важнейшие из них.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Правовые основы защиты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детства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?в</w:t>
            </w:r>
            <w:proofErr w:type="spellEnd"/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законодательстве РФ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Кризисное социально-экономическое положение несовершеннолетних в нашей стране послужили главными предпосылками для выработки </w:t>
            </w: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государством новых приоритетных направлений социальной политики в области защиты детства. Верховным Советом СССР 13 июня 1990 г. была ратифицирована Конвенция ООН «О правах ребенка», впоследствии этот документ вступил в силу для Российской Федерации как правопреемника Советского Союза.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Конвенция «О правах ребенка» была принята 20 ноября 1989 г. Генеральной Ассамблеей Объединенных Наций. Документ провозглашает приоритетность прав и интересов ребенка перед потребностями общества, государства, семьи, других социальных институтов.</w:t>
            </w: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Варывдин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Клемантович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И.П. Управление системой социальной защиты детства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-- 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М., 2013. -- С. 9--10.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Конвенция провозглашает неприкосновенность личности ребенка, признает его самостоятельным субъектом права, устанавливает нормы ответственности государств за судьбы детей. Все государства, ратифицировавшие этот документ, обязаны привести свои законодательства в соответствие с 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ним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и несут юридическую ответственность за выполнение основных положений Конвенции и в случае их нарушения должны быть подвергнуты международным санкциям.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Подписание Россией 31 января 1992 г. «Всемирной декларации об обеспечении выживания, защиты и развития детей» также сыграло значительную роль в совершенствовании отечественной системы социальной защиты детства. В Декларации были обозначены основные проблемы, с которыми сталкиваются дети, и предложены рекомендации по внедрению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социозащитных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мер, касающихся всех сфер жизни ребенка. Указом Президента Российской Федерации от 1 июня 1992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543 «О первоочередных мерах по реализации Всемирной декларации об обеспечении выживания, защиты и развития детей в 90-е годы» органам исполнительной власти субъектов Федерации было предписано содействовать развитию сети учреждений социальной помощи семье и детям. Правительство РФ разработало и утвердило список таких организаций, а также перечень бесплатных услуг, которые они обязаны предоставлять семьям и детям.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С целью усиления социально-правовой защищенности детей, обеспечения их конституционных прав, были разработаны «Основные направления государственной социальной политики по улучшению положения детей в РФ до 2000 года (Национальный план действий в интересах детей)», утвержденные Указом Президента от 14 сентября 1995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942. Этот документ внес новые направления в социальную защиту детства. В нем впервые была представлена целостная система мер социально-экономического и правового характера по решению приоритетных задач жизнеобеспечения детей, включая улучшение качества жизни, создание благоприятных условий для развития, защиту от жестокого обращения и насилия, последствий политических, социальных, межэтнических конфликтов, экологических и иных бедствий и катастроф и пр.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Следующим шагом было принятие Федерального закона от 24 июля 1998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124-ФЗ «Об основных гарантиях прав ребенка в Российской Федерации», являющегося базовым документом национального законодательства в области социальной защиты детства. В законе детство признается важнейшим этапом человеческой жизни, приоритетными провозглашаются принципы подготовки детей к полноценной жизни в обществе, развития у них социальной и творческой активности, воспитания нравственности, гражданственности и патриотизма.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Документом определяются законодательные гарантии соблюдения прав ребенка и основные направления государственной политики в области </w:t>
            </w: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интересов детей: укрепление системы правовой защиты детства;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обеспечение социальной поддержки семьи, являющейся первичной средой жизнеобеспечения ребенка, в том числе обеспечение охраны материнства; обеспечение охраны здоровья детей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;? 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обеспечение воспитания, образования и развития детей; поддержка детей, находящихся в трудных жизненных ситуациях. Содействие ребенку в реализации и защите его прав и законных интересов может осуществляться при участии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разнопрофильных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специалистов в области социальной работы. Они ответственны за практическую реализацию мероприятий по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внесемейному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воспитанию, образованию, охране здоровья, социальной поддержке и социальному обслуживанию ребенка в рамках деятельности образовательных и медицинских учреждений, органов социального обслуживания, опеки и попечительства, охраны правопорядка и т.д.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Таким 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образом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в практике социальной защиты несовершеннолетних реализуется комплексный подход.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Правовая база социальной работы с семьей и детьми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10 декабря 1995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195-ФЗ (с изменениями от 10, 25 июля 2002 г., 10 января 2003 г., 22 августа 2004 г.) «Об основах социального обслуживания населения в Российской Федерации» устанавливает нормы правового регулирования в области социального обслуживания семьи и детей. Согласно данному Закону социальные службы - это «предприятия и учреждения, независимо от форм собственности, предоставляющие социальные услуги, а также граждане, занимающиеся предпринимательской деятельностью по социальному обслуживанию населения без образования юридического лица». Этим же Законом социальное обслуживание населения определяется как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ситуации». Данный документ юридически закрепляет право детей и семьи на получение социальных 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услуг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как в специализированных учреждениях, так и в домашних условиях; определяет вопросы организации социального обслуживания, перечень учреждений и порядок их создания, деятельности, финансирования; закрепляет полномочия органов государственной власти в области социального обслуживания.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Важным этапом в становлении концепции социальной политики в отношении семьи и детей стало издание Указа Президента Российской Федерации от 14 мая 1996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712 «Об основных направлениях государственной семейной политики». Указом были определены четыре основных направления семейной политики государства: обеспечение условий для преодоления негативных тенденций и стабилизации материального положения российских семей, уменьшения бедности и увеличения помощи нетрудоспособным членам семьи; обеспечение работникам, имеющим детей, благоприятных условий для сочетания трудовой деятельности с выполнением семейных обязанностей; кардинальное улучшение охраны здоровья семьи; усиление помощи семье в воспитании детей Елизаров В.В. Семейная политика и экономическая поддержка семьи в современной России // Уровень жизни населения регионов России. - 2012. -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6. - С. 7..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Очевидно, что главной целью органов социальной зашиты семьи детства, согласно данному документу, является создание условий для реализации </w:t>
            </w: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семьей тех ее функций, которые обеспечивают благополучие ребенка.</w:t>
            </w: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Е.И. Социальная работа с семьей. - М., 2011. - С. 34-35.?15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Законодательство в области социальной работы с детьми-инвалидами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Федеральным законом от 24 ноября 1995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181-ФЗ (с изменениями от 31 декабря 2005 г.) «О социальной защите инвалидов в РФ» инвалидам, включая детей с ограниченными возможностями, гарантируется система экономических, социальных и правовых мер, обеспечивающая условия для преодоления и компенсации ограничений жизнедеятельности. В рамках защиты детей-инвалидов предусмотрены мероприятия по 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, социально-педагогической, психологической реабилитации. Закон защищает права детей-инвалидов на квалифицированную медицинскую помощь, беспрепятственный доступ к объектам социальной инфраструктуры, осуществление воспитания и обучения в дошкольных учреждениях и школах общего либо специального типа. На основании данного документа, а также Федерального закона «О социальном обслуживании граждан пожилого возраста и инвалидов» и ряда других законодательных актов, семьям, имеющим в своем составе детей-инвалидов, профильными социальными службами предоставляются следующие услуги Программы и методики социальной реабилитации семей групп риска: научн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методическое пособие / под ред.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Н.М.Платоновой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- СПб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2012. - С. 61-62.: сопровождение в домашних условиях и во внешней социальной среде в случае трудовой занятости обоих родителей; обеспечение социально-средовой реабилитации; содействие в проведении медико-социальной и психолог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педагогической реабилитации; консультативная и посредническая помощь по правовым вопросам; помощь в получении дополнительного обучения и профессионального образования по индивидуальным программам; содействие в оказании экстренной социальной помощи в кризисных ситуациях; организация посещения детьми-инвалидами и их семьями культурных и спортивных мероприятий.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Основы законодательства в области профилактики безнадзорности и правонарушений несовершеннолетних Указом Президента Российской Федерации от 6 сентября 1993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1338 «О профилактике безнадзорности и правонарушений несовершеннолетних, защите их прав» был определен круг учреждений, ответственных за государственную систему профилактики безнадзорности и правонарушений несовершеннолетних. Среди них были названы комиссии по делам несовершеннолетних, органы опеки и попечительства, органы внутренних дел, а также специализированные службы органов социальной защиты населения, образования и здравоохранения. Указ послужил основой для формирования новых подходов государственных органов к профилактике социального сиротства и подростковой преступности. Правительству совместно с органами исполнительной власти субъектов федерации и органами местного самоуправления предписывалось образовать специализированные учреждения (службы) по социальной реабилитации несовершеннолетних, а также специальные учебно-воспитательные учреждения открытого типа для малолетних правонарушителей. В результате была определена система мер по профилактике безнадзорности и правонарушений несовершеннолетних, на федеральном и местном уровнях сформирована нормативно-правовая база деятельности специализированных социально-реабилитационных учреждений. Одним из значимых изменений в работе с безнадзорными детьми, совершившими общественно опасные деяния, стала реорганизация приемников-распределителей органов внутренних дел в специальные центры временной изоляции, являющиеся первым звеном системы социальной реабилитации несовершеннолетних.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Решением Межведомственной комиссии по делам несовершеннолетних при Правительстве РФ, утвержденным в июле 1998 г., была принята Концепция совершенствования государственной системы профилактики безнадзорности и правонарушений несовершеннолетних, а уже через год вступил в силу Федеральный закон от 24 июня 1999 г.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120-ФЗ (с изменениями от 13 января 2001 г.) «Об основах системы профилактики </w:t>
            </w: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безнадзорности и правонарушений несовершеннолетних», который в настоящее время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определяет основные направления деятельности и меру ответственности федеральных министерств и ведомств, а также субъектов РФ в данном направлении социальной профилактики.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Законом определена система органов и учреждений, курирующих профилактическую работу с несовершеннолетними. 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В систему профилактики безнадзорности и правонарушений несовершеннолетних входят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 субъектов Российской Федерации,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В законе также прописаны основные полномочия органов по профилактике безнадзорности и правонарушения среди несовершеннолетних, которые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физического, сексуального и психологического насилия, эксплуатации, выявлять несовершеннолетних и семьи, находящиеся в социально опасном положении.</w:t>
            </w:r>
          </w:p>
          <w:p w:rsidR="00C54010" w:rsidRPr="00C54010" w:rsidRDefault="00C54010" w:rsidP="00C54010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Таким образом, признание приоритетности социальной политики в области защиты детства является одной из актуальных тенденций государственного управления в нашей стране. Дети как наиболее уязвимая часть социума требуют особого внимания со стороны государства и гражданского общества и должны стать объектом особой социальной заботы. Нормативно - правовое обеспечение социальной работы с детьми группы риска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ассматриваются на международном, федеральном, региональном уровне. Это видно в нормативн</w:t>
            </w:r>
            <w:proofErr w:type="gram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законодательной базе, организационных аспектах, а также богатый опыт, накопленный в отечественной практике, комплексной социальной помощи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дисфункциональным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семьям, профилактики </w:t>
            </w:r>
            <w:proofErr w:type="spellStart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5401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поведения, безнадзорности и беспризорности в детско-юношеской среде, сопровождения социальных сирот, реабилитации детей-инвалидов.</w:t>
            </w:r>
            <w:bookmarkEnd w:id="1"/>
          </w:p>
        </w:tc>
      </w:tr>
    </w:tbl>
    <w:p w:rsidR="00A96EFB" w:rsidRDefault="00A96EFB"/>
    <w:sectPr w:rsidR="00A96EFB" w:rsidSect="00C54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6"/>
    <w:rsid w:val="00752746"/>
    <w:rsid w:val="008C5962"/>
    <w:rsid w:val="00A96EFB"/>
    <w:rsid w:val="00C54010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708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73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27934/" TargetMode="External"/><Relationship Id="rId13" Type="http://schemas.openxmlformats.org/officeDocument/2006/relationships/hyperlink" Target="http://www.gak.gov.ru/pages/gak/4605/4604/7772/index.shtml" TargetMode="External"/><Relationship Id="rId18" Type="http://schemas.openxmlformats.org/officeDocument/2006/relationships/hyperlink" Target="http://base.garant.ru/12116087/" TargetMode="External"/><Relationship Id="rId26" Type="http://schemas.openxmlformats.org/officeDocument/2006/relationships/hyperlink" Target="https://studwood.ru/590783/sotsiologiya/sotsialnaya_rabota_s_detmi_gruppy_ri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184672/" TargetMode="External"/><Relationship Id="rId7" Type="http://schemas.openxmlformats.org/officeDocument/2006/relationships/hyperlink" Target="http://www.fskn.gov.ru/pages/main/info/legal_foundation/4033/4034/index.shtml" TargetMode="External"/><Relationship Id="rId12" Type="http://schemas.openxmlformats.org/officeDocument/2006/relationships/hyperlink" Target="http://government.ru/docs/all/71084/" TargetMode="External"/><Relationship Id="rId17" Type="http://schemas.openxmlformats.org/officeDocument/2006/relationships/hyperlink" Target="http://www.kartyo.ru/korro/files/ant/Doc/5.htm" TargetMode="External"/><Relationship Id="rId25" Type="http://schemas.openxmlformats.org/officeDocument/2006/relationships/hyperlink" Target="https://studwood.ru/590785/sotsiologiya/teoreticheskie_osnovy_issledovani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g.ru/2012/12/30/obrazovanie-dok.html" TargetMode="External"/><Relationship Id="rId20" Type="http://schemas.openxmlformats.org/officeDocument/2006/relationships/hyperlink" Target="http://bazazakonov.ru/doc/?ID=326896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885/%D1%84%D0%B0%D0%B9%D0%BB/244/96.08.22-125.pdf" TargetMode="External"/><Relationship Id="rId11" Type="http://schemas.openxmlformats.org/officeDocument/2006/relationships/hyperlink" Target="http://government.ru/docs/all/73596/" TargetMode="External"/><Relationship Id="rId24" Type="http://schemas.openxmlformats.org/officeDocument/2006/relationships/hyperlink" Target="http://www.consultant.ru/popular/koap/" TargetMode="External"/><Relationship Id="rId5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5" Type="http://schemas.openxmlformats.org/officeDocument/2006/relationships/hyperlink" Target="http://www.un.org/ru/documents/decl_conv/conventions/childcon.shtml" TargetMode="External"/><Relationship Id="rId23" Type="http://schemas.openxmlformats.org/officeDocument/2006/relationships/hyperlink" Target="http://base.garant.ru/1010800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vernment.ru/docs/all/27467/" TargetMode="External"/><Relationship Id="rId19" Type="http://schemas.openxmlformats.org/officeDocument/2006/relationships/hyperlink" Target="http://www.alppp.ru/law/socialnoe-obespechenie-i-socialnoe-strahovanie/87/pismo-minobrazovanija-rf-ot-26-01-2000--22-06-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all/72894/" TargetMode="External"/><Relationship Id="rId14" Type="http://schemas.openxmlformats.org/officeDocument/2006/relationships/hyperlink" Target="http://www.valeo.akipkro.ru/images/%D0%BF%D1%8B/per_1.doc" TargetMode="External"/><Relationship Id="rId22" Type="http://schemas.openxmlformats.org/officeDocument/2006/relationships/hyperlink" Target="http://www.garant.ru/products/ipo/prime/doc/70011908/" TargetMode="External"/><Relationship Id="rId27" Type="http://schemas.openxmlformats.org/officeDocument/2006/relationships/hyperlink" Target="https://studwood.ru/590787/sotsiologiya/eticheskie_osnovy_sotsialnoy_raboty_detmi_gruppy_ri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4</cp:revision>
  <cp:lastPrinted>2018-09-21T10:03:00Z</cp:lastPrinted>
  <dcterms:created xsi:type="dcterms:W3CDTF">2018-09-21T09:58:00Z</dcterms:created>
  <dcterms:modified xsi:type="dcterms:W3CDTF">2021-02-16T06:09:00Z</dcterms:modified>
</cp:coreProperties>
</file>