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5" w:rsidRDefault="00C85155" w:rsidP="00C8515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-321310</wp:posOffset>
            </wp:positionV>
            <wp:extent cx="6747510" cy="9566275"/>
            <wp:effectExtent l="19050" t="0" r="0" b="0"/>
            <wp:wrapSquare wrapText="bothSides"/>
            <wp:docPr id="3" name="Рисунок 1" descr="C:\Users\11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10" cy="956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49C" w:rsidRPr="00010CF1" w:rsidRDefault="004A349C" w:rsidP="00152CB8">
      <w:pPr>
        <w:jc w:val="center"/>
        <w:rPr>
          <w:b/>
        </w:rPr>
      </w:pPr>
      <w:r w:rsidRPr="00010CF1">
        <w:rPr>
          <w:b/>
        </w:rPr>
        <w:lastRenderedPageBreak/>
        <w:t>ОГЛАВЛЕНИЕ</w:t>
      </w:r>
    </w:p>
    <w:p w:rsidR="00AF0F7D" w:rsidRDefault="00AF0F7D" w:rsidP="00152CB8">
      <w:pPr>
        <w:jc w:val="center"/>
      </w:pPr>
    </w:p>
    <w:tbl>
      <w:tblPr>
        <w:tblStyle w:val="a6"/>
        <w:tblW w:w="0" w:type="auto"/>
        <w:tblLook w:val="04A0"/>
      </w:tblPr>
      <w:tblGrid>
        <w:gridCol w:w="534"/>
        <w:gridCol w:w="6804"/>
        <w:gridCol w:w="2516"/>
      </w:tblGrid>
      <w:tr w:rsidR="00010CF1" w:rsidTr="00010CF1">
        <w:tc>
          <w:tcPr>
            <w:tcW w:w="534" w:type="dxa"/>
          </w:tcPr>
          <w:p w:rsidR="00010CF1" w:rsidRDefault="00010CF1" w:rsidP="002C740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t xml:space="preserve">ОБЩИЕ ПОЛОЖЕНИЯ                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10CF1" w:rsidTr="00010CF1">
        <w:trPr>
          <w:trHeight w:val="567"/>
        </w:trPr>
        <w:tc>
          <w:tcPr>
            <w:tcW w:w="534" w:type="dxa"/>
          </w:tcPr>
          <w:p w:rsidR="00010CF1" w:rsidRDefault="00010CF1" w:rsidP="002C740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</w:pPr>
            <w:r>
              <w:t xml:space="preserve">ТРУДОВОЙ ДОГОВОР, </w:t>
            </w:r>
            <w:r w:rsidRPr="00AF0F7D">
              <w:t>ГАРАНТИИ ПРИ ЗАКЛЮЧЕНИИ, ИЗМЕНЕНИИ</w:t>
            </w:r>
            <w:r>
              <w:t xml:space="preserve"> </w:t>
            </w:r>
            <w:r w:rsidRPr="00AF0F7D">
              <w:t xml:space="preserve">И РАСТОРЖЕНИИ ТРУДОВОГО ДОГОВОРА            </w:t>
            </w:r>
            <w:r>
              <w:t xml:space="preserve">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rPr>
                <w:bCs/>
                <w:caps/>
              </w:rPr>
              <w:t xml:space="preserve">рабочее время и время отдыха                                                  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rPr>
                <w:bCs/>
                <w:caps/>
              </w:rPr>
              <w:t>Оплата и нормирование труда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  <w:caps/>
              </w:rPr>
            </w:pPr>
            <w:r w:rsidRPr="00AF0F7D">
              <w:rPr>
                <w:bCs/>
                <w:caps/>
              </w:rPr>
              <w:t>Социальные гарант</w:t>
            </w:r>
            <w:r>
              <w:rPr>
                <w:bCs/>
                <w:caps/>
              </w:rPr>
              <w:t>ии и меры социальной поддержки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  <w:caps/>
              </w:rPr>
            </w:pPr>
            <w:r w:rsidRPr="00AF0F7D">
              <w:rPr>
                <w:bCs/>
                <w:caps/>
              </w:rPr>
              <w:t>Охрана труда и здоровья</w:t>
            </w:r>
            <w:r>
              <w:rPr>
                <w:bCs/>
                <w:caps/>
              </w:rPr>
              <w:t xml:space="preserve">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</w:rPr>
            </w:pPr>
            <w:r w:rsidRPr="00AF0F7D">
              <w:rPr>
                <w:bCs/>
              </w:rPr>
              <w:t>ПО</w:t>
            </w:r>
            <w:r>
              <w:rPr>
                <w:bCs/>
              </w:rPr>
              <w:t xml:space="preserve">ДДЕРЖКА МОЛОДЫХПЕДАГОГОВ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010CF1" w:rsidTr="00010CF1">
        <w:trPr>
          <w:trHeight w:val="556"/>
        </w:trPr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</w:rPr>
            </w:pPr>
            <w:r w:rsidRPr="00AF0F7D">
              <w:rPr>
                <w:bCs/>
              </w:rPr>
              <w:t>ДОПОЛНИТЕЛЬНОЕ ПРОФЕССИОНАЛЬНОЕ ОБРАЗОВАНИЕ</w:t>
            </w:r>
            <w:r>
              <w:rPr>
                <w:bCs/>
              </w:rPr>
              <w:t xml:space="preserve">  РАБОТНИКОВ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ind w:firstLine="709"/>
              <w:rPr>
                <w:bCs/>
              </w:rPr>
            </w:pPr>
            <w:r>
              <w:rPr>
                <w:bCs/>
              </w:rPr>
              <w:t xml:space="preserve">     40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15"/>
              <w:spacing w:line="240" w:lineRule="auto"/>
              <w:contextualSpacing/>
              <w:rPr>
                <w:rStyle w:val="A10"/>
                <w:b w:val="0"/>
                <w:color w:val="auto"/>
                <w:sz w:val="24"/>
                <w:szCs w:val="24"/>
              </w:rPr>
            </w:pPr>
            <w:r w:rsidRPr="00AF0F7D">
              <w:rPr>
                <w:rStyle w:val="A10"/>
                <w:b w:val="0"/>
                <w:color w:val="auto"/>
                <w:sz w:val="24"/>
                <w:szCs w:val="24"/>
              </w:rPr>
              <w:t xml:space="preserve">СОЦИАЛЬНОЕ ПАРТНЁРСТВО    </w:t>
            </w:r>
            <w:r>
              <w:rPr>
                <w:rStyle w:val="A10"/>
                <w:b w:val="0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Default"/>
              <w:contextualSpacing/>
              <w:rPr>
                <w:bCs/>
              </w:rPr>
            </w:pPr>
            <w:r w:rsidRPr="00AF0F7D">
              <w:rPr>
                <w:bCs/>
              </w:rPr>
              <w:t>ГАР</w:t>
            </w:r>
            <w:r>
              <w:rPr>
                <w:bCs/>
              </w:rPr>
              <w:t>АНТИИ ПРОФСОЮЗНОЙ ДЕЯТЕЛЬНОСТИ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6"/>
              <w:spacing w:line="240" w:lineRule="auto"/>
              <w:contextualSpacing/>
              <w:rPr>
                <w:rFonts w:eastAsia="Times New Roman"/>
                <w:color w:val="000000"/>
              </w:rPr>
            </w:pPr>
            <w:r w:rsidRPr="00AF0F7D">
              <w:rPr>
                <w:rFonts w:eastAsia="Times New Roman"/>
                <w:color w:val="000000"/>
              </w:rPr>
              <w:t>КОНТРОЛЬ ЗА ВЫП</w:t>
            </w:r>
            <w:r>
              <w:rPr>
                <w:rFonts w:eastAsia="Times New Roman"/>
                <w:color w:val="000000"/>
              </w:rPr>
              <w:t>ОЛНЕНИЕМ КОЛЛЕКТИВНОГО ДОГОВОРА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6"/>
              <w:spacing w:line="240" w:lineRule="auto"/>
              <w:contextualSpacing/>
            </w:pPr>
            <w:r w:rsidRPr="00AF0F7D">
              <w:t>ОТВЕТСТВЕННОСТЬ</w:t>
            </w:r>
            <w:r>
              <w:t xml:space="preserve"> СТОРОН КОЛЛЕКТИВНОГО ДОГОВОРА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804" w:type="dxa"/>
          </w:tcPr>
          <w:p w:rsidR="00010CF1" w:rsidRPr="00AF0F7D" w:rsidRDefault="00010CF1" w:rsidP="00392856">
            <w:pPr>
              <w:pStyle w:val="Default"/>
              <w:contextualSpacing/>
              <w:jc w:val="both"/>
            </w:pPr>
            <w:r w:rsidRPr="00AF0F7D">
              <w:rPr>
                <w:bCs/>
              </w:rPr>
              <w:t xml:space="preserve">ЗАКЛЮЧИТЕЛЬНЫЕ ПОЛОЖЕНИЯ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</w:tbl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010CF1"/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 _______________________________</w:t>
      </w:r>
      <w:r w:rsidR="00010CF1">
        <w:rPr>
          <w:u w:val="single"/>
        </w:rPr>
        <w:t>МБДОУ ЦРР д/с №24 «Ромашка»</w:t>
      </w:r>
      <w:r w:rsidRPr="009365B2">
        <w:t>____</w:t>
      </w:r>
      <w:r w:rsidR="00010CF1">
        <w:t>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4F5D38" w:rsidRDefault="00A80BFB" w:rsidP="004F5D38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</w:t>
      </w:r>
      <w:r w:rsidR="004F5D38">
        <w:rPr>
          <w:u w:val="single"/>
        </w:rPr>
        <w:t>Алиевой Э.М.</w:t>
      </w:r>
      <w:r w:rsidRPr="009365B2">
        <w:t>___</w:t>
      </w:r>
      <w:r w:rsidR="004F5D38">
        <w:t>______________________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</w:t>
      </w:r>
      <w:r w:rsidR="004F5D38">
        <w:rPr>
          <w:u w:val="single"/>
        </w:rPr>
        <w:t>Усмановой Г.Г.</w:t>
      </w:r>
      <w:r w:rsidRPr="009365B2">
        <w:t>______</w:t>
      </w:r>
      <w:r w:rsidR="004F5D38">
        <w:t>__________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92856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</w:t>
      </w:r>
      <w:r w:rsidR="00392856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92856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92856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392856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392856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392856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392856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392856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92856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392856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392856">
        <w:t xml:space="preserve"> </w:t>
      </w:r>
      <w:r w:rsidR="00392856">
        <w:rPr>
          <w:u w:val="single"/>
        </w:rPr>
        <w:t xml:space="preserve">МБДОУ ЦРР д/с </w:t>
      </w:r>
      <w:r w:rsidR="00E85B2A" w:rsidRPr="00392856">
        <w:rPr>
          <w:u w:val="single"/>
        </w:rPr>
        <w:t>___</w:t>
      </w:r>
      <w:r w:rsidR="00392856" w:rsidRPr="00392856">
        <w:rPr>
          <w:u w:val="single"/>
        </w:rPr>
        <w:t>№24 «Ромашка»</w:t>
      </w:r>
      <w:r w:rsidR="00392856">
        <w:t>_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392856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392856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392856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392856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</w:t>
      </w:r>
      <w:r w:rsidR="0071200D" w:rsidRPr="00442FC1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392856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>и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392856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392856">
        <w:t xml:space="preserve"> </w:t>
      </w:r>
      <w:r w:rsidR="00DD0F12" w:rsidRPr="009365B2">
        <w:t>в письменной форме</w:t>
      </w:r>
      <w:r w:rsidR="00392856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392856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392856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3928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размер суточных на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392856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</w:t>
      </w:r>
      <w:r w:rsidR="00B55783" w:rsidRPr="00671E4C">
        <w:lastRenderedPageBreak/>
        <w:t>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392856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392856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392856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>проведении аттестации работников</w:t>
      </w:r>
      <w:r w:rsidR="00392856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392856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392856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392856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392856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392856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392856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392856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392856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39285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392856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392856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392856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392856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392856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392856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392856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</w:t>
      </w:r>
      <w:r w:rsidR="00392856">
        <w:rPr>
          <w:sz w:val="28"/>
          <w:szCs w:val="28"/>
          <w:u w:val="single"/>
        </w:rPr>
        <w:t>42</w:t>
      </w:r>
      <w:r w:rsidR="0031353C">
        <w:rPr>
          <w:sz w:val="28"/>
          <w:szCs w:val="28"/>
        </w:rPr>
        <w:t>___ 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>__</w:t>
      </w:r>
      <w:r w:rsidR="00392856">
        <w:rPr>
          <w:sz w:val="28"/>
          <w:szCs w:val="28"/>
          <w:u w:val="single"/>
        </w:rPr>
        <w:t>28</w:t>
      </w:r>
      <w:r w:rsidR="003A5A3C">
        <w:rPr>
          <w:sz w:val="28"/>
          <w:szCs w:val="28"/>
        </w:rPr>
        <w:t xml:space="preserve">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7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8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9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392856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392856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392856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392856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40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392856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392856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39285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39285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1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2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392856">
        <w:t xml:space="preserve"> </w:t>
      </w:r>
      <w:r w:rsidR="001776DD" w:rsidRPr="00521B9C">
        <w:t>детей</w:t>
      </w:r>
      <w:r w:rsidR="0039285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3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4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392856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5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392856">
        <w:t xml:space="preserve"> </w:t>
      </w:r>
      <w:r w:rsidR="00A2348D" w:rsidRPr="009365B2">
        <w:t>трудового законодательства</w:t>
      </w:r>
      <w:r w:rsidR="00392856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>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6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7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8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9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392856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lastRenderedPageBreak/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3928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1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392856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2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3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4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392856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392856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392856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5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6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7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_______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392856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 xml:space="preserve">Учителям, другим педагогическим работникам, осуществляющим преподавательскую работубез занятия штатной должности помимо работы в </w:t>
      </w:r>
      <w:r w:rsidR="00D22CAB" w:rsidRPr="00A4388F">
        <w:rPr>
          <w:iCs/>
        </w:rPr>
        <w:lastRenderedPageBreak/>
        <w:t>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8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392856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9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60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392856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392856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392856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392856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lastRenderedPageBreak/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2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 за ними места работы (должности) и среднего заработка</w:t>
      </w:r>
      <w:r w:rsidR="00392856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392856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lastRenderedPageBreak/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0834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0834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день (дни) для прохождения диспансеризации с сохранением с сохранением за ними места </w:t>
      </w:r>
      <w:r>
        <w:rPr>
          <w:color w:val="000000"/>
          <w:sz w:val="28"/>
          <w:szCs w:val="28"/>
        </w:rPr>
        <w:lastRenderedPageBreak/>
        <w:t>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</w:t>
      </w:r>
      <w:r w:rsidR="000D083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0834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0834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70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0834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0834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0834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0834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1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2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3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4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5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0D0834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0D0834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0D0834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0D0834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6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</w:t>
      </w:r>
      <w:r w:rsidRPr="007814F9">
        <w:rPr>
          <w:sz w:val="28"/>
          <w:szCs w:val="28"/>
        </w:rPr>
        <w:lastRenderedPageBreak/>
        <w:t xml:space="preserve">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7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0D0834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0D0834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</w:t>
      </w:r>
      <w:r w:rsidRPr="00A75E54">
        <w:rPr>
          <w:iCs/>
          <w:sz w:val="28"/>
          <w:szCs w:val="28"/>
        </w:rPr>
        <w:lastRenderedPageBreak/>
        <w:t>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0D0834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0D0834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8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0D0834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0D0834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0D0834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0D0834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0D0834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9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0D0834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0D0834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0D0834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0D0834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EF7BAC">
      <w:pPr>
        <w:pStyle w:val="Pa16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EF7BAC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</w:t>
      </w:r>
      <w:r w:rsidR="00EF7BAC">
        <w:rPr>
          <w:rFonts w:eastAsia="Times New Roman"/>
          <w:i/>
          <w:color w:val="000000"/>
          <w:sz w:val="22"/>
          <w:szCs w:val="22"/>
          <w:u w:val="single"/>
        </w:rPr>
        <w:t>МБДОУ ЦРР д/с №24 «ромашка»</w:t>
      </w:r>
      <w:r w:rsidR="00EF7BAC">
        <w:rPr>
          <w:rFonts w:eastAsia="Times New Roman"/>
          <w:i/>
          <w:color w:val="000000"/>
          <w:sz w:val="22"/>
          <w:szCs w:val="22"/>
        </w:rPr>
        <w:t>_______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</w:t>
      </w:r>
      <w:r w:rsidR="00EF7BAC">
        <w:rPr>
          <w:rFonts w:eastAsia="Times New Roman"/>
          <w:i/>
          <w:color w:val="000000"/>
          <w:sz w:val="22"/>
          <w:szCs w:val="22"/>
        </w:rPr>
        <w:t xml:space="preserve">                                          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80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0D0834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0D0834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1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</w:t>
      </w:r>
      <w:r w:rsidR="00DD0F12" w:rsidRPr="0014594B">
        <w:rPr>
          <w:color w:val="auto"/>
          <w:sz w:val="28"/>
          <w:szCs w:val="28"/>
        </w:rPr>
        <w:lastRenderedPageBreak/>
        <w:t xml:space="preserve">труду. Вступление коллективного договора в силу не зависит от факта его уведомительной регистрации.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EF7BAC" w:rsidRDefault="00EF7BA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МБДОУ ЦРР                             д/с №24 «Ромашка»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____________________Алиева Э.М.</w:t>
            </w: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___________________Усманова Г.Г.</w:t>
            </w:r>
            <w:r w:rsidR="00DD0F12">
              <w:rPr>
                <w:sz w:val="28"/>
                <w:szCs w:val="28"/>
              </w:rPr>
              <w:t xml:space="preserve"> </w:t>
            </w:r>
          </w:p>
          <w:p w:rsidR="00EF7BAC" w:rsidRDefault="00EF7BA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B3" w:rsidRDefault="007B5FB3">
      <w:r>
        <w:separator/>
      </w:r>
    </w:p>
  </w:endnote>
  <w:endnote w:type="continuationSeparator" w:id="1">
    <w:p w:rsidR="007B5FB3" w:rsidRDefault="007B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AC" w:rsidRDefault="00D65E6D" w:rsidP="0002281E">
    <w:pPr>
      <w:pStyle w:val="a4"/>
      <w:jc w:val="right"/>
    </w:pPr>
    <w:fldSimple w:instr="PAGE   \* MERGEFORMAT">
      <w:r w:rsidR="00C8515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B3" w:rsidRDefault="007B5FB3">
      <w:r>
        <w:separator/>
      </w:r>
    </w:p>
  </w:footnote>
  <w:footnote w:type="continuationSeparator" w:id="1">
    <w:p w:rsidR="007B5FB3" w:rsidRDefault="007B5FB3">
      <w:r>
        <w:continuationSeparator/>
      </w:r>
    </w:p>
  </w:footnote>
  <w:footnote w:id="2">
    <w:p w:rsidR="00EF7BAC" w:rsidRDefault="00EF7BAC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EF7BAC" w:rsidRDefault="00EF7BAC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EF7BAC" w:rsidRDefault="00EF7BA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EF7BAC" w:rsidRDefault="00EF7BAC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EF7BAC" w:rsidRDefault="00EF7BAC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EF7BAC" w:rsidRPr="003A5A3C" w:rsidRDefault="00EF7BAC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EF7BAC" w:rsidRPr="003008D9" w:rsidRDefault="00EF7BAC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EF7BAC" w:rsidRPr="00442FC1" w:rsidRDefault="00EF7BAC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EF7BAC" w:rsidRPr="00EB03E3" w:rsidRDefault="00EF7BAC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EF7BAC" w:rsidRDefault="00EF7BAC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EF7BAC" w:rsidRPr="00832D98" w:rsidRDefault="00EF7BAC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EF7BAC" w:rsidRPr="00833558" w:rsidRDefault="00EF7BAC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EF7BAC" w:rsidRDefault="00EF7BAC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EF7BAC" w:rsidRDefault="00EF7BAC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EF7BAC" w:rsidRDefault="00EF7BAC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EF7BAC" w:rsidRDefault="00EF7BAC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EF7BAC" w:rsidRPr="00024235" w:rsidRDefault="00EF7BAC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EF7BAC" w:rsidRDefault="00EF7BAC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EF7BAC" w:rsidRDefault="00EF7BAC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EF7BAC" w:rsidRPr="00232288" w:rsidRDefault="00EF7BAC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EF7BAC" w:rsidRDefault="00EF7BAC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EF7BAC" w:rsidRDefault="00EF7BAC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EF7BAC" w:rsidRPr="00672959" w:rsidRDefault="00EF7BAC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EF7BAC" w:rsidRDefault="00EF7BAC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EF7BAC" w:rsidRDefault="00EF7BAC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EF7BAC" w:rsidRDefault="00EF7BA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EF7BAC" w:rsidRPr="00AA737A" w:rsidRDefault="00EF7BAC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EF7BAC" w:rsidRDefault="00EF7BAC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EF7BAC" w:rsidRPr="007A2BBE" w:rsidRDefault="00EF7BAC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EF7BAC" w:rsidRPr="00101282" w:rsidRDefault="00EF7BAC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EF7BAC" w:rsidRDefault="00EF7BAC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EF7BAC" w:rsidRPr="00717182" w:rsidRDefault="00EF7BAC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EF7BAC" w:rsidRDefault="00EF7BAC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EF7BAC" w:rsidRDefault="00EF7BAC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EF7BAC" w:rsidRPr="00E71608" w:rsidRDefault="00EF7BA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8">
    <w:p w:rsidR="00EF7BAC" w:rsidRDefault="00EF7BAC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9">
    <w:p w:rsidR="00EF7BAC" w:rsidRDefault="00EF7BAC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40">
    <w:p w:rsidR="00EF7BAC" w:rsidRPr="00E71608" w:rsidRDefault="00EF7BAC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1">
    <w:p w:rsidR="00EF7BAC" w:rsidRDefault="00EF7BAC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2">
    <w:p w:rsidR="00EF7BAC" w:rsidRPr="00F9421C" w:rsidRDefault="00EF7BAC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3">
    <w:p w:rsidR="00EF7BAC" w:rsidRDefault="00EF7BAC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4">
    <w:p w:rsidR="00EF7BAC" w:rsidRPr="008A73CD" w:rsidRDefault="00EF7BAC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5">
    <w:p w:rsidR="00EF7BAC" w:rsidRDefault="00EF7BAC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EF7BAC" w:rsidRDefault="00EF7BAC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6">
    <w:p w:rsidR="00EF7BAC" w:rsidRDefault="00EF7BAC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7">
    <w:p w:rsidR="00EF7BAC" w:rsidRPr="004F42E6" w:rsidRDefault="00EF7BAC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8">
    <w:p w:rsidR="00EF7BAC" w:rsidRPr="00A2348D" w:rsidRDefault="00EF7BAC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9">
    <w:p w:rsidR="00EF7BAC" w:rsidRDefault="00EF7BAC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50">
    <w:p w:rsidR="00EF7BAC" w:rsidRDefault="00EF7BAC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EF7BAC" w:rsidRDefault="00EF7BAC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1">
    <w:p w:rsidR="00EF7BAC" w:rsidRDefault="00EF7BA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2">
    <w:p w:rsidR="00EF7BAC" w:rsidRDefault="00EF7BAC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3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4">
    <w:p w:rsidR="00EF7BAC" w:rsidRPr="00D5459C" w:rsidRDefault="00EF7BAC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5">
    <w:p w:rsidR="00EF7BAC" w:rsidRPr="00D5459C" w:rsidRDefault="00EF7BAC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6">
    <w:p w:rsidR="00EF7BAC" w:rsidRDefault="00EF7BAC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EF7BAC" w:rsidRDefault="00EF7BAC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7">
    <w:p w:rsidR="00EF7BAC" w:rsidRDefault="00EF7BAC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8">
    <w:p w:rsidR="00EF7BAC" w:rsidRPr="00241C3E" w:rsidRDefault="00EF7BAC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9">
    <w:p w:rsidR="00EF7BAC" w:rsidRDefault="00EF7BAC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60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1">
    <w:p w:rsidR="00EF7BAC" w:rsidRDefault="00EF7BAC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2">
    <w:p w:rsidR="00EF7BAC" w:rsidRDefault="00EF7BAC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3">
    <w:p w:rsidR="00EF7BAC" w:rsidRPr="001857A3" w:rsidRDefault="00EF7BAC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4">
    <w:p w:rsidR="00EF7BAC" w:rsidRPr="00AC41E3" w:rsidRDefault="00EF7BAC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5">
    <w:p w:rsidR="00EF7BAC" w:rsidRDefault="00EF7BAC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6">
    <w:p w:rsidR="00EF7BAC" w:rsidRDefault="00EF7BAC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7">
    <w:p w:rsidR="00EF7BAC" w:rsidRDefault="00EF7BA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8">
    <w:p w:rsidR="00EF7BAC" w:rsidRDefault="00EF7BAC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9">
    <w:p w:rsidR="00EF7BAC" w:rsidRDefault="00EF7BAC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70">
    <w:p w:rsidR="00EF7BAC" w:rsidRDefault="00EF7BAC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1">
    <w:p w:rsidR="00EF7BAC" w:rsidRDefault="00EF7BAC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2">
    <w:p w:rsidR="00EF7BAC" w:rsidRDefault="00EF7BAC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3">
    <w:p w:rsidR="00EF7BAC" w:rsidRPr="0087545E" w:rsidRDefault="00EF7BAC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4">
    <w:p w:rsidR="00EF7BAC" w:rsidRDefault="00EF7BAC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5">
    <w:p w:rsidR="00EF7BAC" w:rsidRDefault="00EF7BAC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6">
    <w:p w:rsidR="00EF7BAC" w:rsidRDefault="00EF7BAC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7">
    <w:p w:rsidR="00EF7BAC" w:rsidRPr="006D0FB6" w:rsidRDefault="00EF7BAC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8">
    <w:p w:rsidR="00EF7BAC" w:rsidRDefault="00EF7BAC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9">
    <w:p w:rsidR="00EF7BAC" w:rsidRPr="00DF0CA1" w:rsidRDefault="00EF7BAC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80">
    <w:p w:rsidR="00EF7BAC" w:rsidRDefault="00EF7BAC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1">
    <w:p w:rsidR="00EF7BAC" w:rsidRDefault="00EF7BAC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stylePaneFormatFilter w:val="3F01"/>
  <w:defaultTabStop w:val="709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0DC"/>
    <w:rsid w:val="00003902"/>
    <w:rsid w:val="00003C25"/>
    <w:rsid w:val="00003EBC"/>
    <w:rsid w:val="000040E8"/>
    <w:rsid w:val="00005917"/>
    <w:rsid w:val="00010CF1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0834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3F93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56"/>
    <w:rsid w:val="0039287C"/>
    <w:rsid w:val="00392B97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689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5D38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5B19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212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5FB3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0C8A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84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0F7D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5155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5E6D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BAC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6AC6-7210-4E6A-A19F-00B4C11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18385</Words>
  <Characters>104800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111</cp:lastModifiedBy>
  <cp:revision>11</cp:revision>
  <cp:lastPrinted>2022-03-17T07:05:00Z</cp:lastPrinted>
  <dcterms:created xsi:type="dcterms:W3CDTF">2020-10-16T07:11:00Z</dcterms:created>
  <dcterms:modified xsi:type="dcterms:W3CDTF">2022-03-25T08:39:00Z</dcterms:modified>
</cp:coreProperties>
</file>