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b w:val="1"/>
          <w:color w:val="0000c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cd"/>
          <w:sz w:val="28"/>
          <w:szCs w:val="28"/>
          <w:rtl w:val="0"/>
        </w:rPr>
        <w:t xml:space="preserve">В ДОУ функционируют специальные помещения: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33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33ff"/>
          <w:sz w:val="28"/>
          <w:szCs w:val="28"/>
          <w:rtl w:val="0"/>
        </w:rPr>
        <w:t xml:space="preserve">кабинет заведующего;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33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33ff"/>
          <w:sz w:val="28"/>
          <w:szCs w:val="28"/>
          <w:rtl w:val="0"/>
        </w:rPr>
        <w:t xml:space="preserve">методический кабинет;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33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33ff"/>
          <w:sz w:val="28"/>
          <w:szCs w:val="28"/>
          <w:rtl w:val="0"/>
        </w:rPr>
        <w:t xml:space="preserve">медицинский кабинет (кабинет приёма, процедурный, изолятор);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33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33ff"/>
          <w:sz w:val="28"/>
          <w:szCs w:val="28"/>
          <w:rtl w:val="0"/>
        </w:rPr>
        <w:t xml:space="preserve">музыкально-физкультурный зал;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33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33ff"/>
          <w:sz w:val="28"/>
          <w:szCs w:val="28"/>
          <w:rtl w:val="0"/>
        </w:rPr>
        <w:t xml:space="preserve">кабинет педагога-психолога;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33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33ff"/>
          <w:sz w:val="28"/>
          <w:szCs w:val="28"/>
          <w:rtl w:val="0"/>
        </w:rPr>
        <w:t xml:space="preserve">кабинет логопеда;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33ff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33ff"/>
          <w:sz w:val="28"/>
          <w:szCs w:val="28"/>
          <w:rtl w:val="0"/>
        </w:rPr>
        <w:t xml:space="preserve">пищеблок;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33ff"/>
          <w:sz w:val="28"/>
          <w:szCs w:val="28"/>
          <w:rtl w:val="0"/>
        </w:rPr>
        <w:t xml:space="preserve">прачечная.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             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Все помещения оборудованы в соответствии с их функциональным назначением и соблюдением санитарно – гигиенических требований. 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 норм на группах, наличием моющих средств для мытья посуды, стирки белья и спецодежды.</w:t>
      </w:r>
    </w:p>
    <w:p w:rsidR="00000000" w:rsidDel="00000000" w:rsidP="00000000" w:rsidRDefault="00000000" w:rsidRPr="00000000" w14:paraId="0000000C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