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Электронные образовательные ресурсы, к которым обеспечивается доступ обучающихся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4"/>
          <w:szCs w:val="24"/>
          <w:shd w:fill="f0fbff" w:val="clear"/>
        </w:rPr>
      </w:pPr>
      <w:r w:rsidDel="00000000" w:rsidR="00000000" w:rsidRPr="00000000">
        <w:rPr>
          <w:color w:val="555555"/>
          <w:sz w:val="24"/>
          <w:szCs w:val="24"/>
          <w:shd w:fill="f0fbff" w:val="clear"/>
          <w:rtl w:val="0"/>
        </w:rPr>
        <w:t xml:space="preserve">В образовательной организации отсутствует доступ воспитанников к электронным образовательным ресурсам, в том числе приспособленным для использования инвалидами и лицами с ограниченными возможностями здоровья.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