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007ad0"/>
          <w:sz w:val="36"/>
          <w:szCs w:val="36"/>
          <w:highlight w:val="white"/>
        </w:rPr>
      </w:pPr>
      <w:r w:rsidDel="00000000" w:rsidR="00000000" w:rsidRPr="00000000">
        <w:rPr>
          <w:color w:val="007ad0"/>
          <w:sz w:val="36"/>
          <w:szCs w:val="36"/>
          <w:highlight w:val="white"/>
          <w:rtl w:val="0"/>
        </w:rPr>
        <w:t xml:space="preserve">Меры социальной поддержки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color w:val="555555"/>
          <w:sz w:val="21"/>
          <w:szCs w:val="21"/>
          <w:highlight w:val="white"/>
          <w:rtl w:val="0"/>
        </w:rPr>
        <w:t xml:space="preserve">Осуществляется компенсация части родительской платы на основании Постановления Правительства РД от 20.05.2009г. №142.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007ad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