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2DB7" w14:textId="77777777"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  <w:bookmarkStart w:id="0" w:name="_Toc424284809"/>
      <w:bookmarkStart w:id="1" w:name="sub_1"/>
    </w:p>
    <w:p w14:paraId="614CA8FC" w14:textId="77777777" w:rsidR="00FF2220" w:rsidRPr="00FF2220" w:rsidRDefault="00FF2220" w:rsidP="00FF2220">
      <w:pPr>
        <w:keepNext/>
        <w:keepLines/>
        <w:tabs>
          <w:tab w:val="left" w:pos="993"/>
          <w:tab w:val="left" w:pos="6521"/>
        </w:tabs>
        <w:jc w:val="both"/>
        <w:rPr>
          <w:sz w:val="22"/>
        </w:rPr>
      </w:pPr>
      <w:r>
        <w:rPr>
          <w:b/>
        </w:rPr>
        <w:tab/>
      </w:r>
      <w:r>
        <w:rPr>
          <w:b/>
        </w:rPr>
        <w:tab/>
      </w:r>
      <w:r w:rsidRPr="00FF2220">
        <w:rPr>
          <w:sz w:val="22"/>
        </w:rPr>
        <w:t>Приложение</w:t>
      </w:r>
      <w:r w:rsidR="00B93431">
        <w:rPr>
          <w:sz w:val="22"/>
        </w:rPr>
        <w:t xml:space="preserve"> №___</w:t>
      </w:r>
      <w:r w:rsidRPr="00FF2220">
        <w:rPr>
          <w:sz w:val="22"/>
        </w:rPr>
        <w:t xml:space="preserve"> к приказу</w:t>
      </w:r>
    </w:p>
    <w:p w14:paraId="54FBADC7" w14:textId="77777777" w:rsidR="00FF2220" w:rsidRPr="00FF2220" w:rsidRDefault="00FF2220" w:rsidP="00FF2220">
      <w:pPr>
        <w:keepNext/>
        <w:keepLines/>
        <w:tabs>
          <w:tab w:val="left" w:pos="993"/>
          <w:tab w:val="left" w:pos="6521"/>
        </w:tabs>
        <w:jc w:val="both"/>
        <w:rPr>
          <w:sz w:val="22"/>
        </w:rPr>
      </w:pPr>
      <w:r w:rsidRPr="00FF2220">
        <w:rPr>
          <w:sz w:val="22"/>
        </w:rPr>
        <w:tab/>
      </w:r>
      <w:r w:rsidRPr="00FF2220">
        <w:rPr>
          <w:sz w:val="22"/>
        </w:rPr>
        <w:tab/>
        <w:t>от _________________№______</w:t>
      </w:r>
    </w:p>
    <w:p w14:paraId="56468A27" w14:textId="77777777"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14:paraId="6B2ED25B" w14:textId="77777777"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14:paraId="7E48E53D" w14:textId="77777777" w:rsidR="00FF2220" w:rsidRDefault="00FF2220" w:rsidP="00AF1292">
      <w:pPr>
        <w:keepNext/>
        <w:keepLines/>
        <w:tabs>
          <w:tab w:val="left" w:pos="993"/>
          <w:tab w:val="left" w:pos="6521"/>
        </w:tabs>
        <w:rPr>
          <w:b/>
        </w:rPr>
      </w:pPr>
    </w:p>
    <w:p w14:paraId="4D8F62D9" w14:textId="77777777" w:rsidR="00CB517C" w:rsidRPr="00AF1292" w:rsidRDefault="00CB517C" w:rsidP="00B93431">
      <w:pPr>
        <w:keepNext/>
        <w:keepLines/>
        <w:tabs>
          <w:tab w:val="left" w:pos="993"/>
          <w:tab w:val="left" w:pos="6521"/>
        </w:tabs>
        <w:jc w:val="both"/>
        <w:rPr>
          <w:b/>
        </w:rPr>
      </w:pPr>
    </w:p>
    <w:p w14:paraId="10D00B42" w14:textId="77777777" w:rsidR="002160EC" w:rsidRDefault="00372BAD" w:rsidP="0081190F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 xml:space="preserve">ПОЛОЖЕНИЕ ОБ АНТИКОРРУПЦИОННОЙ ПОЛИТИКЕ </w:t>
      </w:r>
    </w:p>
    <w:p w14:paraId="184C9016" w14:textId="0DC6A2C2" w:rsidR="002B337E" w:rsidRPr="0098255C" w:rsidRDefault="0081190F" w:rsidP="0081190F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 w:rsidRPr="0081190F">
        <w:rPr>
          <w:b/>
        </w:rPr>
        <w:t xml:space="preserve">Муниципального </w:t>
      </w:r>
      <w:r w:rsidR="00A472A4">
        <w:rPr>
          <w:b/>
        </w:rPr>
        <w:t>казённого</w:t>
      </w:r>
      <w:r w:rsidRPr="0081190F">
        <w:rPr>
          <w:b/>
        </w:rPr>
        <w:t xml:space="preserve"> дошкольного образовательного учреждения «Детский сад №</w:t>
      </w:r>
      <w:r w:rsidR="00A472A4">
        <w:rPr>
          <w:b/>
        </w:rPr>
        <w:t>1</w:t>
      </w:r>
      <w:r w:rsidRPr="0081190F">
        <w:rPr>
          <w:b/>
        </w:rPr>
        <w:t>5 «</w:t>
      </w:r>
      <w:r w:rsidR="00A472A4">
        <w:rPr>
          <w:b/>
        </w:rPr>
        <w:t>Сказка</w:t>
      </w:r>
      <w:r w:rsidRPr="0081190F">
        <w:rPr>
          <w:b/>
        </w:rPr>
        <w:t xml:space="preserve">» Городского округа «город </w:t>
      </w:r>
      <w:r w:rsidR="00A472A4">
        <w:rPr>
          <w:b/>
        </w:rPr>
        <w:t>Кизляр</w:t>
      </w:r>
      <w:r w:rsidRPr="0081190F">
        <w:rPr>
          <w:b/>
        </w:rPr>
        <w:t>»</w:t>
      </w:r>
    </w:p>
    <w:p w14:paraId="4C405CCE" w14:textId="77777777" w:rsidR="004B6E34" w:rsidRDefault="004B6E34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</w:p>
    <w:p w14:paraId="5C35293F" w14:textId="77777777" w:rsidR="00FF2220" w:rsidRPr="00917000" w:rsidRDefault="00FF2220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</w:p>
    <w:p w14:paraId="7E7C2AA1" w14:textId="77777777" w:rsidR="002B337E" w:rsidRPr="002F27A6" w:rsidRDefault="009E48EF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  <w:lang w:val="en-US"/>
        </w:rPr>
        <w:t>I</w:t>
      </w:r>
      <w:r w:rsidR="002B337E" w:rsidRPr="002F27A6">
        <w:rPr>
          <w:b/>
        </w:rPr>
        <w:t>. Общие положения</w:t>
      </w:r>
    </w:p>
    <w:p w14:paraId="7C7C4D08" w14:textId="77777777"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14:paraId="47A4377F" w14:textId="39ED44CC" w:rsidR="002B337E" w:rsidRDefault="00774399" w:rsidP="0081190F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1. </w:t>
      </w:r>
      <w:r w:rsidR="00372BAD">
        <w:t>Антикоррупционная политика</w:t>
      </w:r>
      <w:r w:rsidR="0081190F" w:rsidRPr="0081190F">
        <w:t xml:space="preserve"> Муниципального </w:t>
      </w:r>
      <w:r w:rsidR="00A472A4">
        <w:t>казённого</w:t>
      </w:r>
      <w:r w:rsidR="0081190F" w:rsidRPr="0081190F">
        <w:t xml:space="preserve"> дошкольного образовательного учреждения «Детский сад №</w:t>
      </w:r>
      <w:r w:rsidR="00A472A4">
        <w:t>1</w:t>
      </w:r>
      <w:r w:rsidR="0081190F" w:rsidRPr="0081190F">
        <w:t>5 «</w:t>
      </w:r>
      <w:r w:rsidR="00A472A4">
        <w:t>Сказка</w:t>
      </w:r>
      <w:r w:rsidR="0081190F" w:rsidRPr="0081190F">
        <w:t xml:space="preserve">» Городского округа «город </w:t>
      </w:r>
      <w:r w:rsidR="00A472A4">
        <w:t>Кизляр</w:t>
      </w:r>
      <w:r w:rsidR="0081190F" w:rsidRPr="0081190F">
        <w:t>»</w:t>
      </w:r>
      <w:r w:rsidR="0081190F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81190F" w:rsidRPr="0081190F">
        <w:t xml:space="preserve">Муниципального </w:t>
      </w:r>
      <w:r w:rsidR="00A472A4">
        <w:t>казённого</w:t>
      </w:r>
      <w:r w:rsidR="0081190F" w:rsidRPr="0081190F">
        <w:t xml:space="preserve"> дошкольного образовательного учреждения «Детский сад №</w:t>
      </w:r>
      <w:r w:rsidR="00A472A4">
        <w:t>1</w:t>
      </w:r>
      <w:r w:rsidR="0081190F" w:rsidRPr="0081190F">
        <w:t>5 «</w:t>
      </w:r>
      <w:r w:rsidR="00A472A4">
        <w:t>Сказка</w:t>
      </w:r>
      <w:r w:rsidR="0081190F" w:rsidRPr="0081190F">
        <w:t xml:space="preserve">» Городского округа «город </w:t>
      </w:r>
      <w:r w:rsidR="00A472A4">
        <w:t>Кизляр</w:t>
      </w:r>
      <w:r w:rsidR="0081190F" w:rsidRPr="0081190F">
        <w:t>»</w:t>
      </w:r>
      <w:r w:rsidR="0081190F"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14:paraId="01F1EC44" w14:textId="4838DFBF" w:rsidR="00372BAD" w:rsidRPr="00E92D79" w:rsidRDefault="00FF2220" w:rsidP="0081190F">
      <w:pPr>
        <w:keepNext/>
        <w:keepLines/>
        <w:tabs>
          <w:tab w:val="left" w:pos="0"/>
          <w:tab w:val="left" w:pos="993"/>
        </w:tabs>
        <w:jc w:val="both"/>
      </w:pPr>
      <w:r>
        <w:rPr>
          <w:sz w:val="22"/>
        </w:rPr>
        <w:t xml:space="preserve">     </w:t>
      </w:r>
      <w:r w:rsidR="00774399" w:rsidRPr="00E92D79">
        <w:t>2. </w:t>
      </w:r>
      <w:r w:rsidR="00FD6990" w:rsidRPr="00E92D79">
        <w:t xml:space="preserve">Настоящее </w:t>
      </w:r>
      <w:r w:rsidR="0041575A" w:rsidRPr="00E92D79">
        <w:t>П</w:t>
      </w:r>
      <w:r w:rsidR="00FD6990" w:rsidRPr="00E92D79">
        <w:t>оложение</w:t>
      </w:r>
      <w:r w:rsidR="00372BAD" w:rsidRPr="00E92D79">
        <w:t xml:space="preserve"> </w:t>
      </w:r>
      <w:r w:rsidR="00AA3E83" w:rsidRPr="00E92D79">
        <w:t>основано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1"/>
      </w:r>
      <w:r w:rsidR="001D46E5" w:rsidRPr="00E92D79">
        <w:t xml:space="preserve"> и </w:t>
      </w:r>
      <w:r w:rsidR="00AA3E83" w:rsidRPr="00E92D79">
        <w:t>разработано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4B6E34">
        <w:t xml:space="preserve">нормативных правовых актов  администрации города </w:t>
      </w:r>
      <w:r w:rsidR="00A472A4">
        <w:t>Кизляра</w:t>
      </w:r>
      <w:r w:rsidR="004B6E34">
        <w:t xml:space="preserve">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14:paraId="39019A1C" w14:textId="77777777" w:rsidR="00134B6F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14:paraId="0D8200DD" w14:textId="77777777"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обеспечение соответствия деятельности Учреждения требованиям антикоррупционного законодательства;</w:t>
      </w:r>
    </w:p>
    <w:p w14:paraId="4F67DCDA" w14:textId="77777777"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минимизация рисков вовлечения Учреждения и его работников в коррупционную деятельность;</w:t>
      </w:r>
    </w:p>
    <w:p w14:paraId="5E90645F" w14:textId="77777777"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A97E06"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Pr="00E92D79">
        <w:t>;</w:t>
      </w:r>
    </w:p>
    <w:p w14:paraId="64676DCC" w14:textId="77777777" w:rsidR="00FA6D2E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14:paraId="6EEC0A6A" w14:textId="77777777" w:rsidR="00A97E06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14:paraId="70588681" w14:textId="77777777" w:rsidR="001262E8" w:rsidRPr="00E92D79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1262E8"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1262E8" w:rsidRPr="00E92D79">
        <w:t xml:space="preserve">реализацию </w:t>
      </w:r>
      <w:r w:rsidR="00671FD2" w:rsidRPr="00E92D79">
        <w:t>а</w:t>
      </w:r>
      <w:r w:rsidR="001262E8" w:rsidRPr="00E92D79">
        <w:t>нтикоррупционной политики</w:t>
      </w:r>
      <w:r w:rsidR="00E755BB" w:rsidRPr="00E92D79">
        <w:t xml:space="preserve"> Учреждени</w:t>
      </w:r>
      <w:r w:rsidR="006B4E83" w:rsidRPr="00E92D79">
        <w:t>я</w:t>
      </w:r>
      <w:r w:rsidR="001262E8" w:rsidRPr="00E92D79">
        <w:t>;</w:t>
      </w:r>
    </w:p>
    <w:p w14:paraId="0F2D08C3" w14:textId="77777777" w:rsidR="00A97E06" w:rsidRPr="00E92D79" w:rsidRDefault="001262E8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-</w:t>
      </w:r>
      <w:r w:rsidR="006B4E83" w:rsidRPr="00E92D79">
        <w:t> </w:t>
      </w:r>
      <w:r w:rsidR="00A97E06"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A97E06"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</w:p>
    <w:p w14:paraId="4DB5EB18" w14:textId="77777777" w:rsidR="002B337E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определение основных принципов работы по предупреждению коррупции в Учреждении;</w:t>
      </w:r>
    </w:p>
    <w:p w14:paraId="5708D1C8" w14:textId="77777777" w:rsidR="00D7000A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14:paraId="0864CC3D" w14:textId="77777777" w:rsidR="00071636" w:rsidRPr="00E92D79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2F27A6" w:rsidRPr="00E92D79">
        <w:t>.</w:t>
      </w:r>
    </w:p>
    <w:p w14:paraId="1DFBE6D3" w14:textId="77777777"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5. Для целей настоящего Положения используются следующие основные понятия:</w:t>
      </w:r>
    </w:p>
    <w:p w14:paraId="63D2FC00" w14:textId="77777777"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CB3500" w:rsidRPr="00E92D79">
        <w:rPr>
          <w:b/>
        </w:rPr>
        <w:t>оррупция</w:t>
      </w:r>
      <w:r w:rsidR="00CB3500"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14:paraId="301A738D" w14:textId="77777777" w:rsidR="00EA28A0" w:rsidRPr="00E92D79" w:rsidRDefault="00BE502F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В</w:t>
      </w:r>
      <w:r w:rsidR="006C3C3B" w:rsidRPr="00E92D79">
        <w:rPr>
          <w:b/>
        </w:rPr>
        <w:t>зятка</w:t>
      </w:r>
      <w:r w:rsidR="006C3C3B"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14:paraId="01CFC31D" w14:textId="77777777" w:rsidR="00EA28A0" w:rsidRPr="00E92D79" w:rsidRDefault="00BE502F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EA28A0" w:rsidRPr="00E92D79">
        <w:rPr>
          <w:b/>
        </w:rPr>
        <w:t>оммерческий подкуп</w:t>
      </w:r>
      <w:r w:rsidR="00EA28A0"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14:paraId="1A7CEFAD" w14:textId="77777777" w:rsidR="00E2715C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="00635AB6"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460385E8" w14:textId="77777777"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14:paraId="1034FFC2" w14:textId="77777777"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14:paraId="5C446D39" w14:textId="77777777"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14:paraId="481F02F1" w14:textId="77777777" w:rsidR="00E2715C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lastRenderedPageBreak/>
        <w:t>П</w:t>
      </w:r>
      <w:r w:rsidR="00E2715C" w:rsidRPr="00E92D79">
        <w:rPr>
          <w:b/>
        </w:rPr>
        <w:t>редупреждение коррупции</w:t>
      </w:r>
      <w:r w:rsidR="00635AB6"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14:paraId="68C0AC38" w14:textId="77777777"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Р</w:t>
      </w:r>
      <w:r w:rsidR="00CB3500" w:rsidRPr="00E92D79">
        <w:rPr>
          <w:b/>
        </w:rPr>
        <w:t>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="00CB3500" w:rsidRPr="00E92D79">
        <w:t>‒ физическое лицо, вступившее в трудовые отношения с</w:t>
      </w:r>
      <w:r w:rsidR="006B4E83" w:rsidRPr="00E92D79">
        <w:t xml:space="preserve"> </w:t>
      </w:r>
      <w:r w:rsidR="00CB3500" w:rsidRPr="00E92D79">
        <w:t>Учреждением;</w:t>
      </w:r>
    </w:p>
    <w:p w14:paraId="429BC3EC" w14:textId="77777777" w:rsidR="00607654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607654" w:rsidRPr="00E92D79">
        <w:rPr>
          <w:b/>
        </w:rPr>
        <w:t>онтрагент</w:t>
      </w:r>
      <w:r w:rsidR="006B4E83" w:rsidRPr="00E92D79">
        <w:rPr>
          <w:b/>
        </w:rPr>
        <w:t xml:space="preserve"> </w:t>
      </w:r>
      <w:r w:rsidR="00607654" w:rsidRPr="00E92D79">
        <w:t>Учреждения</w:t>
      </w:r>
      <w:r w:rsidR="006B4E83" w:rsidRPr="00E92D79">
        <w:t> </w:t>
      </w:r>
      <w:r w:rsidR="00607654" w:rsidRPr="00E92D79"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14:paraId="6CB81DEE" w14:textId="77777777"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К</w:t>
      </w:r>
      <w:r w:rsidR="00CB3500" w:rsidRPr="00E92D79">
        <w:rPr>
          <w:b/>
        </w:rPr>
        <w:t>онфликт интересов</w:t>
      </w:r>
      <w:r w:rsidR="00EA7820" w:rsidRPr="00E92D79">
        <w:rPr>
          <w:rStyle w:val="af7"/>
          <w:b/>
        </w:rPr>
        <w:footnoteReference w:id="2"/>
      </w:r>
      <w:r w:rsidR="00CB3500"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="00CB3500" w:rsidRPr="00E92D79">
        <w:t xml:space="preserve">(представителя </w:t>
      </w:r>
      <w:r w:rsidR="00EA28A0" w:rsidRPr="00E92D79">
        <w:t>Учреждения</w:t>
      </w:r>
      <w:r w:rsidR="00CB3500"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14:paraId="6E61348F" w14:textId="77777777" w:rsidR="00CB3500" w:rsidRPr="00E92D79" w:rsidRDefault="00BE502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b/>
        </w:rPr>
        <w:t>Л</w:t>
      </w:r>
      <w:r w:rsidR="00CB3500" w:rsidRPr="00E92D79">
        <w:rPr>
          <w:b/>
        </w:rPr>
        <w:t>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 xml:space="preserve">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22A50F4" w14:textId="77777777" w:rsidR="00774399" w:rsidRPr="00E92D79" w:rsidRDefault="00774399" w:rsidP="002D33C6">
      <w:pPr>
        <w:keepNext/>
        <w:keepLines/>
        <w:tabs>
          <w:tab w:val="left" w:pos="0"/>
          <w:tab w:val="left" w:pos="993"/>
        </w:tabs>
      </w:pPr>
    </w:p>
    <w:p w14:paraId="4C7075FC" w14:textId="77777777" w:rsidR="00774399" w:rsidRPr="00E92D79" w:rsidRDefault="009E48EF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</w:t>
      </w:r>
      <w:r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14:paraId="116B1A1E" w14:textId="77777777"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14:paraId="54D5B502" w14:textId="77777777" w:rsidR="009E48EF" w:rsidRPr="00E92D79" w:rsidRDefault="009E48EF" w:rsidP="00774399">
      <w:pPr>
        <w:keepNext/>
        <w:keepLines/>
        <w:tabs>
          <w:tab w:val="left" w:pos="0"/>
          <w:tab w:val="left" w:pos="993"/>
        </w:tabs>
        <w:jc w:val="both"/>
      </w:pPr>
    </w:p>
    <w:p w14:paraId="258DEBD7" w14:textId="77777777" w:rsidR="00774399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14:paraId="509D4FFA" w14:textId="77777777"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14:paraId="3E11FE7D" w14:textId="77777777"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14:paraId="535CE4FD" w14:textId="77777777" w:rsidR="00435886" w:rsidRPr="00E92D79" w:rsidRDefault="00F3638A" w:rsidP="00435886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14:paraId="2DC9A71C" w14:textId="77777777" w:rsidR="00435886" w:rsidRPr="00E92D79" w:rsidRDefault="00435886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14:paraId="2C1CB7E9" w14:textId="77777777" w:rsidR="002F27A6" w:rsidRPr="00E92D79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14:paraId="64C83E35" w14:textId="77777777"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r w:rsidR="00671FD2" w:rsidRPr="00E92D79">
        <w:t>а</w:t>
      </w:r>
      <w:r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14:paraId="71076BEA" w14:textId="77777777"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14:paraId="44C3E918" w14:textId="77777777"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14:paraId="2AD20594" w14:textId="77777777"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14:paraId="562CB9A9" w14:textId="77777777"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14:paraId="0CDB5965" w14:textId="77777777"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>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процедур.</w:t>
      </w:r>
    </w:p>
    <w:p w14:paraId="560138BA" w14:textId="77777777"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14:paraId="07EA2AE4" w14:textId="77777777"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14:paraId="3D7C0ED9" w14:textId="77777777"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эффективности антикоррупционных процедур.</w:t>
      </w:r>
    </w:p>
    <w:p w14:paraId="5B526024" w14:textId="77777777"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r w:rsidR="00F40A2F" w:rsidRPr="00E92D79">
        <w:t xml:space="preserve">антикоррупционных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14:paraId="023F1F98" w14:textId="77777777"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14:paraId="4AABCDE1" w14:textId="77777777"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r w:rsidR="00671FD2" w:rsidRPr="00E92D79">
        <w:t>а</w:t>
      </w:r>
      <w:r w:rsidR="00DE2E99" w:rsidRPr="00E92D79">
        <w:t>нтикоррупционной политики Учреждения</w:t>
      </w:r>
      <w:r w:rsidRPr="00E92D79">
        <w:t>.</w:t>
      </w:r>
    </w:p>
    <w:p w14:paraId="3C060B68" w14:textId="77777777"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14:paraId="4EF05704" w14:textId="77777777"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14:paraId="7547242B" w14:textId="77777777"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14:paraId="45437F28" w14:textId="77777777"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4971ECFC" w14:textId="77777777"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14:paraId="329D5604" w14:textId="77777777" w:rsidR="00C67388" w:rsidRPr="00E92D79" w:rsidRDefault="004B3E98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4B3E98">
        <w:rPr>
          <w:b/>
        </w:rPr>
        <w:tab/>
      </w:r>
      <w:r w:rsidR="00F3638A"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14:paraId="58F9A275" w14:textId="77777777"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а</w:t>
      </w:r>
      <w:r w:rsidR="00C67388" w:rsidRPr="00E92D79">
        <w:rPr>
          <w:b/>
        </w:rPr>
        <w:t>нтикоррупционной политики</w:t>
      </w:r>
      <w:r w:rsidR="00DE2E99" w:rsidRPr="00E92D79">
        <w:rPr>
          <w:b/>
        </w:rPr>
        <w:t xml:space="preserve"> Учреждения</w:t>
      </w:r>
    </w:p>
    <w:p w14:paraId="7BDA3585" w14:textId="77777777" w:rsidR="00C67388" w:rsidRPr="00E92D79" w:rsidRDefault="00C67388" w:rsidP="00C67388">
      <w:pPr>
        <w:pStyle w:val="af4"/>
        <w:jc w:val="both"/>
        <w:rPr>
          <w:rFonts w:cs="Times New Roman"/>
        </w:rPr>
      </w:pPr>
    </w:p>
    <w:p w14:paraId="7D443968" w14:textId="77777777"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14:paraId="3D5B41FE" w14:textId="77777777"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</w:t>
      </w:r>
      <w:r w:rsidR="000E4C7B" w:rsidRPr="00E92D79">
        <w:rPr>
          <w:rFonts w:cs="Times New Roman"/>
          <w:szCs w:val="28"/>
        </w:rPr>
        <w:lastRenderedPageBreak/>
        <w:t>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4B6E34">
        <w:rPr>
          <w:rFonts w:cs="Times New Roman"/>
          <w:szCs w:val="28"/>
        </w:rPr>
        <w:t xml:space="preserve">профилактику коррупционных и иных правонарушений, 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 xml:space="preserve">нтикоррупционной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14:paraId="70FF86CF" w14:textId="77777777"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4B6E34" w:rsidRPr="004B6E34">
        <w:rPr>
          <w:rFonts w:cs="Times New Roman"/>
          <w:szCs w:val="28"/>
        </w:rPr>
        <w:t>профилактику коррупционных и иных правонарушений</w:t>
      </w:r>
      <w:r w:rsidR="00C67388" w:rsidRPr="00E92D79">
        <w:rPr>
          <w:rFonts w:cs="Times New Roman"/>
          <w:szCs w:val="28"/>
        </w:rPr>
        <w:t>:</w:t>
      </w:r>
    </w:p>
    <w:p w14:paraId="15E3B5BA" w14:textId="77777777"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14:paraId="5BBF643B" w14:textId="77777777"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14:paraId="58750618" w14:textId="77777777"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14:paraId="1C77BEAE" w14:textId="77777777"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14:paraId="38DAEBA2" w14:textId="77777777"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14:paraId="418E7833" w14:textId="77777777"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14:paraId="11A607E9" w14:textId="77777777"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14:paraId="298A1EC8" w14:textId="77777777"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14:paraId="32CBADC8" w14:textId="77777777"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7E460E" w:rsidRPr="00E92D79">
        <w:rPr>
          <w:rFonts w:cs="Times New Roman"/>
          <w:szCs w:val="28"/>
        </w:rPr>
        <w:t>а</w:t>
      </w:r>
      <w:r w:rsidRPr="00E92D79">
        <w:rPr>
          <w:rFonts w:cs="Times New Roman"/>
          <w:szCs w:val="28"/>
        </w:rPr>
        <w:t>зыскные мероприятия;</w:t>
      </w:r>
    </w:p>
    <w:p w14:paraId="4AD6A44D" w14:textId="77777777"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14:paraId="276A053A" w14:textId="77777777"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14:paraId="29574116" w14:textId="77777777"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участие в организации антикоррупционной пропаганды;</w:t>
      </w:r>
    </w:p>
    <w:p w14:paraId="1368B99E" w14:textId="77777777"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</w:t>
      </w:r>
      <w:r w:rsidR="00535F0B" w:rsidRPr="00E92D79">
        <w:rPr>
          <w:rFonts w:cs="Times New Roman"/>
          <w:szCs w:val="28"/>
        </w:rPr>
        <w:t>.</w:t>
      </w:r>
    </w:p>
    <w:p w14:paraId="33A5A6F5" w14:textId="77777777" w:rsidR="00E94855" w:rsidRPr="00E92D79" w:rsidRDefault="00E94855" w:rsidP="00B457E9">
      <w:pPr>
        <w:tabs>
          <w:tab w:val="left" w:pos="5810"/>
        </w:tabs>
        <w:jc w:val="left"/>
      </w:pPr>
    </w:p>
    <w:p w14:paraId="7502E68F" w14:textId="77777777" w:rsidR="002D0904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14:paraId="0B53E8D3" w14:textId="77777777"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14:paraId="2D179748" w14:textId="77777777"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14:paraId="7D137A92" w14:textId="77777777" w:rsidR="002908D8" w:rsidRPr="00E92D79" w:rsidRDefault="003632F4" w:rsidP="003632F4">
      <w:pPr>
        <w:pStyle w:val="af4"/>
        <w:ind w:firstLine="709"/>
        <w:jc w:val="both"/>
      </w:pPr>
      <w:r w:rsidRPr="00E92D79">
        <w:t>1</w:t>
      </w:r>
      <w:r w:rsidR="00F3638A" w:rsidRPr="00E92D79">
        <w:t>2</w:t>
      </w:r>
      <w:r w:rsidRPr="00E92D79">
        <w:t xml:space="preserve">. Работники Учреждения знакомятся с </w:t>
      </w:r>
      <w:r w:rsidR="00EF07B4" w:rsidRPr="00E92D79">
        <w:t xml:space="preserve">настоящим </w:t>
      </w:r>
      <w:r w:rsidRPr="00E92D79">
        <w:t>Положением под</w:t>
      </w:r>
      <w:r w:rsidR="002908D8" w:rsidRPr="00E92D79">
        <w:t> роспись.</w:t>
      </w:r>
    </w:p>
    <w:p w14:paraId="6F5235F0" w14:textId="77777777"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 xml:space="preserve">Положения учитывается при оценке деловых качеств работника, в том числе в </w:t>
      </w:r>
      <w:r w:rsidR="003632F4" w:rsidRPr="00E92D79">
        <w:lastRenderedPageBreak/>
        <w:t>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14:paraId="3FEC1E9D" w14:textId="77777777"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14:paraId="605F5290" w14:textId="77777777"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руководствоваться требованиями настоящего Положения и неукоснительно соблюдать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14:paraId="43EF3CDF" w14:textId="77777777"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14:paraId="4BFF19B1" w14:textId="77777777" w:rsidR="003632F4" w:rsidRDefault="003632F4" w:rsidP="003632F4">
      <w:pPr>
        <w:pStyle w:val="af4"/>
        <w:ind w:firstLine="709"/>
        <w:jc w:val="both"/>
      </w:pPr>
      <w:r w:rsidRPr="00E92D79"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B47429">
        <w:t>;</w:t>
      </w:r>
    </w:p>
    <w:p w14:paraId="14897D9C" w14:textId="77777777" w:rsidR="00B47429" w:rsidRDefault="00B47429" w:rsidP="003632F4">
      <w:pPr>
        <w:pStyle w:val="af4"/>
        <w:ind w:firstLine="709"/>
        <w:jc w:val="both"/>
      </w:pPr>
      <w:r>
        <w:t xml:space="preserve">- воздерживаться от </w:t>
      </w:r>
      <w:r w:rsidR="00836046">
        <w:t>получения/дарения подарк</w:t>
      </w:r>
      <w:r w:rsidR="001C3B37">
        <w:t>ов</w:t>
      </w:r>
      <w:r w:rsidR="00836046">
        <w:t>, противоречащ</w:t>
      </w:r>
      <w:r w:rsidR="001C3B37">
        <w:t>их</w:t>
      </w:r>
      <w:r w:rsidR="00836046">
        <w:t xml:space="preserve"> нормам действующего законодательства Российской Федерации и </w:t>
      </w:r>
      <w:r w:rsidR="00035B9B">
        <w:t xml:space="preserve">которые </w:t>
      </w:r>
      <w:r w:rsidR="00836046">
        <w:t>выз</w:t>
      </w:r>
      <w:r w:rsidR="001C3B37">
        <w:t>ываю</w:t>
      </w:r>
      <w:r w:rsidR="00836046">
        <w:t>т или мо</w:t>
      </w:r>
      <w:r w:rsidR="001C3B37">
        <w:t>гут</w:t>
      </w:r>
      <w:r w:rsidR="00836046">
        <w:t xml:space="preserve"> вызвать конфликт интересов.</w:t>
      </w:r>
    </w:p>
    <w:p w14:paraId="79A48922" w14:textId="77777777"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14:paraId="382DD7C9" w14:textId="77777777"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14:paraId="51BC0C5D" w14:textId="77777777"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14:paraId="36333D87" w14:textId="77777777" w:rsidR="002B337E" w:rsidRPr="00E92D79" w:rsidRDefault="003632F4" w:rsidP="003632F4">
      <w:pPr>
        <w:pStyle w:val="af4"/>
        <w:ind w:firstLine="709"/>
        <w:jc w:val="both"/>
      </w:pPr>
      <w:r w:rsidRPr="00E92D79">
        <w:t>- </w:t>
      </w:r>
      <w:r w:rsidR="00035B9B">
        <w:t xml:space="preserve">незамедлительно уведомить </w:t>
      </w:r>
      <w:r w:rsidR="008260F6" w:rsidRPr="00E92D79">
        <w:t>руководител</w:t>
      </w:r>
      <w:r w:rsidR="00035B9B">
        <w:t>я</w:t>
      </w:r>
      <w:r w:rsidR="008260F6" w:rsidRPr="00E92D79">
        <w:t xml:space="preserve"> Учреждения и </w:t>
      </w:r>
      <w:r w:rsidR="00421E93" w:rsidRPr="00E92D79">
        <w:t>свое</w:t>
      </w:r>
      <w:r w:rsidR="00035B9B">
        <w:t>го</w:t>
      </w:r>
      <w:r w:rsidR="00421E93" w:rsidRPr="00E92D79">
        <w:t xml:space="preserve"> </w:t>
      </w:r>
      <w:r w:rsidRPr="00E92D79">
        <w:t>непосредственно</w:t>
      </w:r>
      <w:r w:rsidR="00035B9B">
        <w:t>го</w:t>
      </w:r>
      <w:r w:rsidRPr="00E92D79">
        <w:t xml:space="preserve"> руководител</w:t>
      </w:r>
      <w:r w:rsidR="00035B9B">
        <w:t>я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14:paraId="66CC338A" w14:textId="77777777" w:rsidR="007765C0" w:rsidRPr="00E92D79" w:rsidRDefault="007765C0" w:rsidP="003632F4">
      <w:pPr>
        <w:pStyle w:val="af4"/>
        <w:ind w:firstLine="709"/>
        <w:jc w:val="both"/>
      </w:pPr>
    </w:p>
    <w:p w14:paraId="42E22A9F" w14:textId="77777777" w:rsidR="00CF5D25" w:rsidRPr="00E92D79" w:rsidRDefault="00F3638A" w:rsidP="00CF5D2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14:paraId="7989E868" w14:textId="77777777" w:rsidR="00CF5D25" w:rsidRPr="00E92D79" w:rsidRDefault="00CF5D25" w:rsidP="00CF5D25">
      <w:pPr>
        <w:pStyle w:val="af4"/>
        <w:ind w:firstLine="709"/>
        <w:rPr>
          <w:b/>
          <w:lang w:val="en-US"/>
        </w:rPr>
      </w:pPr>
      <w:r w:rsidRPr="00E92D79">
        <w:rPr>
          <w:b/>
        </w:rPr>
        <w:t>реализуемых Учреждением</w:t>
      </w:r>
      <w:r w:rsidR="00F72E19" w:rsidRPr="00E92D79">
        <w:rPr>
          <w:rStyle w:val="af7"/>
          <w:b/>
        </w:rPr>
        <w:footnoteReference w:id="3"/>
      </w:r>
    </w:p>
    <w:p w14:paraId="3AA5C508" w14:textId="77777777"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0"/>
        <w:gridCol w:w="6171"/>
      </w:tblGrid>
      <w:tr w:rsidR="000F3D2A" w:rsidRPr="00E92D79" w14:paraId="69D3F1C8" w14:textId="77777777" w:rsidTr="00053930">
        <w:tc>
          <w:tcPr>
            <w:tcW w:w="3794" w:type="dxa"/>
          </w:tcPr>
          <w:p w14:paraId="0484A970" w14:textId="77777777"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14:paraId="7064E5E2" w14:textId="77777777"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14:paraId="33637221" w14:textId="77777777" w:rsidTr="00053930">
        <w:trPr>
          <w:trHeight w:val="277"/>
        </w:trPr>
        <w:tc>
          <w:tcPr>
            <w:tcW w:w="3794" w:type="dxa"/>
            <w:vMerge w:val="restart"/>
          </w:tcPr>
          <w:p w14:paraId="02EF680B" w14:textId="77777777" w:rsidR="000F3D2A" w:rsidRPr="00E92D79" w:rsidRDefault="000F3D2A" w:rsidP="005B3F77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Нормативное обеспечение, закрепление стандартов поведения 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35770E11" w14:textId="77777777"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14:paraId="0265695A" w14:textId="77777777" w:rsidTr="00053930">
        <w:trPr>
          <w:trHeight w:val="288"/>
        </w:trPr>
        <w:tc>
          <w:tcPr>
            <w:tcW w:w="3794" w:type="dxa"/>
            <w:vMerge/>
          </w:tcPr>
          <w:p w14:paraId="091E1F34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639FBEBE" w14:textId="77777777" w:rsidR="000F3D2A" w:rsidRPr="00E92D79" w:rsidRDefault="000F3D2A" w:rsidP="00035B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внедрение </w:t>
            </w:r>
            <w:r w:rsidR="00035B9B">
              <w:t>П</w:t>
            </w:r>
            <w:r w:rsidRPr="00E92D79">
              <w:t>оложения о конфликте интересов</w:t>
            </w:r>
          </w:p>
        </w:tc>
      </w:tr>
      <w:tr w:rsidR="000F3D2A" w:rsidRPr="00E92D79" w14:paraId="7F50A384" w14:textId="77777777" w:rsidTr="00053930">
        <w:trPr>
          <w:trHeight w:val="207"/>
        </w:trPr>
        <w:tc>
          <w:tcPr>
            <w:tcW w:w="3794" w:type="dxa"/>
            <w:vMerge/>
          </w:tcPr>
          <w:p w14:paraId="07874B82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6C687B57" w14:textId="77777777"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>положений о соблюдении антикоррупционных стандартов (</w:t>
            </w:r>
            <w:r w:rsidRPr="00E92D79">
              <w:t>антикоррупционной оговорки</w:t>
            </w:r>
            <w:r w:rsidR="00156748" w:rsidRPr="00E92D79">
              <w:t>)</w:t>
            </w:r>
          </w:p>
        </w:tc>
      </w:tr>
      <w:tr w:rsidR="000F3D2A" w:rsidRPr="00E92D79" w14:paraId="359BEE16" w14:textId="77777777" w:rsidTr="00053930">
        <w:trPr>
          <w:trHeight w:val="173"/>
        </w:trPr>
        <w:tc>
          <w:tcPr>
            <w:tcW w:w="3794" w:type="dxa"/>
            <w:vMerge/>
          </w:tcPr>
          <w:p w14:paraId="539DF7A9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14:paraId="6E330035" w14:textId="77777777" w:rsidR="000F3D2A" w:rsidRPr="00E92D79" w:rsidRDefault="000F3D2A" w:rsidP="00035B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r w:rsidRPr="00E92D79">
              <w:t>антикоррупционных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>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 xml:space="preserve">, связанных с </w:t>
            </w:r>
            <w:r w:rsidR="00035B9B">
              <w:t>принятием мер по предотвращению и урегулированию конфликта интересов в соответствии с действующим законодательством</w:t>
            </w:r>
          </w:p>
        </w:tc>
      </w:tr>
      <w:tr w:rsidR="000F3D2A" w:rsidRPr="00E92D79" w14:paraId="7E6E158A" w14:textId="77777777" w:rsidTr="00053930">
        <w:trPr>
          <w:trHeight w:val="208"/>
        </w:trPr>
        <w:tc>
          <w:tcPr>
            <w:tcW w:w="3794" w:type="dxa"/>
            <w:vMerge w:val="restart"/>
          </w:tcPr>
          <w:p w14:paraId="3A098D25" w14:textId="77777777"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Разработка и введение специальных 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1B78A567" w14:textId="77777777"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E92D79" w14:paraId="382C6B89" w14:textId="77777777" w:rsidTr="00053930">
        <w:trPr>
          <w:trHeight w:val="230"/>
        </w:trPr>
        <w:tc>
          <w:tcPr>
            <w:tcW w:w="3794" w:type="dxa"/>
            <w:vMerge/>
          </w:tcPr>
          <w:p w14:paraId="603D4704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29DA5645" w14:textId="77777777"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14:paraId="5A7E8D01" w14:textId="77777777" w:rsidTr="00053930">
        <w:trPr>
          <w:trHeight w:val="195"/>
        </w:trPr>
        <w:tc>
          <w:tcPr>
            <w:tcW w:w="3794" w:type="dxa"/>
            <w:vMerge/>
          </w:tcPr>
          <w:p w14:paraId="1B2631C6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23504BF4" w14:textId="77777777"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14:paraId="1E2895F4" w14:textId="77777777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14:paraId="43F45680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0FA73F00" w14:textId="77777777"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14:paraId="49FF4A90" w14:textId="77777777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0D78E6" w14:textId="77777777"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F6E" w14:textId="77777777"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14:paraId="1FDD9915" w14:textId="77777777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DC5AB7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79A" w14:textId="77777777"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14:paraId="0303A6EC" w14:textId="77777777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14:paraId="134670F4" w14:textId="77777777"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14:paraId="10680E92" w14:textId="77777777"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 xml:space="preserve">по вопросам применения (соблюдения) </w:t>
            </w:r>
            <w:r w:rsidRPr="00E92D79">
              <w:lastRenderedPageBreak/>
              <w:t>антикоррупционных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14:paraId="5EF3BD72" w14:textId="77777777" w:rsidTr="00053930">
        <w:tc>
          <w:tcPr>
            <w:tcW w:w="3794" w:type="dxa"/>
          </w:tcPr>
          <w:p w14:paraId="3E2761D5" w14:textId="77777777"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14:paraId="07E107C5" w14:textId="77777777"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14:paraId="47B7B70C" w14:textId="77777777"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14:paraId="6DF63221" w14:textId="77777777"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14:paraId="18EE15F9" w14:textId="77777777" w:rsidR="00F3638A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14:paraId="00CDC036" w14:textId="77777777"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14:paraId="7053876B" w14:textId="77777777"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14:paraId="4F7F0FBA" w14:textId="77777777" w:rsidR="00806783" w:rsidRPr="00E92D79" w:rsidRDefault="00F3638A" w:rsidP="00806783">
      <w:pPr>
        <w:pStyle w:val="af4"/>
        <w:ind w:firstLine="709"/>
        <w:jc w:val="both"/>
      </w:pPr>
      <w:r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14:paraId="588B41B0" w14:textId="77777777"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E92D79">
        <w:t>;</w:t>
      </w:r>
    </w:p>
    <w:p w14:paraId="7163E516" w14:textId="77777777" w:rsidR="00806783" w:rsidRPr="00E92D79" w:rsidRDefault="00806783" w:rsidP="00806783">
      <w:pPr>
        <w:pStyle w:val="af4"/>
        <w:ind w:firstLine="709"/>
        <w:jc w:val="both"/>
      </w:pPr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</w:p>
    <w:p w14:paraId="20586944" w14:textId="77777777"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r w:rsidR="00207355" w:rsidRPr="00E92D79">
        <w:t xml:space="preserve">Учреждения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14:paraId="7ACB1B4F" w14:textId="77777777"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антикоррупционных стандартов </w:t>
      </w:r>
      <w:r w:rsidRPr="00E92D79">
        <w:t>(антикоррупционн</w:t>
      </w:r>
      <w:r w:rsidR="00207355" w:rsidRPr="00E92D79">
        <w:t>ой</w:t>
      </w:r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14:paraId="5CE39C16" w14:textId="77777777"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14:paraId="22E7D189" w14:textId="77777777" w:rsidR="002F2D79" w:rsidRPr="00E92D79" w:rsidRDefault="002F2D79" w:rsidP="002D33C6">
      <w:pPr>
        <w:pStyle w:val="af4"/>
        <w:ind w:firstLine="709"/>
        <w:rPr>
          <w:b/>
        </w:rPr>
      </w:pPr>
    </w:p>
    <w:p w14:paraId="325E2A92" w14:textId="77777777" w:rsidR="002D33C6" w:rsidRPr="00E92D79" w:rsidRDefault="00F3638A" w:rsidP="002D33C6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14:paraId="6193E68C" w14:textId="77777777" w:rsidR="00053930" w:rsidRPr="00E92D79" w:rsidRDefault="00053930" w:rsidP="002D33C6">
      <w:pPr>
        <w:pStyle w:val="af4"/>
        <w:ind w:firstLine="709"/>
        <w:rPr>
          <w:b/>
        </w:rPr>
      </w:pPr>
    </w:p>
    <w:p w14:paraId="02007BF4" w14:textId="77777777" w:rsidR="002D33C6" w:rsidRPr="00E92D79" w:rsidRDefault="006262B7" w:rsidP="002D33C6">
      <w:pPr>
        <w:pStyle w:val="af4"/>
        <w:ind w:firstLine="709"/>
        <w:jc w:val="both"/>
      </w:pPr>
      <w:r w:rsidRPr="00E92D79">
        <w:t>1</w:t>
      </w:r>
      <w:r w:rsidR="00F3638A" w:rsidRPr="00E92D79">
        <w:t>7</w:t>
      </w:r>
      <w:r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Pr="00E92D79">
        <w:t>работниками Учреждения</w:t>
      </w:r>
      <w:r w:rsidR="002D33C6" w:rsidRPr="00E92D79">
        <w:t xml:space="preserve"> коррупционных правонарушений как в целях получения личной выгоды, так и</w:t>
      </w:r>
      <w:r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Pr="00E92D79">
        <w:t>Учреждени</w:t>
      </w:r>
      <w:r w:rsidR="004D77B1" w:rsidRPr="00E92D79">
        <w:t>ем</w:t>
      </w:r>
      <w:r w:rsidR="002D33C6" w:rsidRPr="00E92D79">
        <w:t>.</w:t>
      </w:r>
    </w:p>
    <w:p w14:paraId="679FF31D" w14:textId="77777777"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14:paraId="7E3E9792" w14:textId="77777777" w:rsidR="002D33C6" w:rsidRPr="00E92D79" w:rsidRDefault="002D33C6" w:rsidP="002D33C6">
      <w:pPr>
        <w:pStyle w:val="af4"/>
        <w:ind w:firstLine="709"/>
        <w:jc w:val="both"/>
      </w:pPr>
      <w:r w:rsidRPr="00E92D79">
        <w:lastRenderedPageBreak/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14:paraId="4249AC6F" w14:textId="77777777"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14:paraId="1F68E37C" w14:textId="77777777" w:rsidR="00D67536" w:rsidRPr="00E92D79" w:rsidRDefault="00D67536" w:rsidP="00D67536">
      <w:pPr>
        <w:pStyle w:val="af4"/>
        <w:ind w:firstLine="709"/>
        <w:jc w:val="both"/>
      </w:pPr>
      <w:r w:rsidRPr="00E92D79"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14:paraId="15EBD8A0" w14:textId="77777777"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14:paraId="13E23E08" w14:textId="77777777"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14:paraId="69726C74" w14:textId="77777777" w:rsidR="002D33C6" w:rsidRPr="00E92D79" w:rsidRDefault="00F3638A" w:rsidP="002D33C6">
      <w:pPr>
        <w:pStyle w:val="af4"/>
        <w:ind w:firstLine="709"/>
        <w:jc w:val="both"/>
      </w:pPr>
      <w:r w:rsidRPr="00E92D79"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14:paraId="3A2839B8" w14:textId="5E751A8D" w:rsidR="006A6354" w:rsidRPr="00E92D79" w:rsidRDefault="00AA1FB4" w:rsidP="00A472A4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14:paraId="343B1013" w14:textId="41A7D9DE" w:rsidR="00E94855" w:rsidRDefault="00E94855" w:rsidP="002D33C6">
      <w:pPr>
        <w:pStyle w:val="af4"/>
        <w:ind w:firstLine="709"/>
        <w:jc w:val="both"/>
      </w:pPr>
      <w:r w:rsidRPr="00E92D79">
        <w:t xml:space="preserve">- должность </w:t>
      </w:r>
      <w:r w:rsidR="00A472A4">
        <w:t>заместителей</w:t>
      </w:r>
      <w:r w:rsidRPr="00E92D79">
        <w:t>;</w:t>
      </w:r>
    </w:p>
    <w:p w14:paraId="58E486A3" w14:textId="77777777" w:rsidR="005B3F77" w:rsidRPr="00E92D79" w:rsidRDefault="005B3F77" w:rsidP="002D33C6">
      <w:pPr>
        <w:pStyle w:val="af4"/>
        <w:ind w:firstLine="709"/>
        <w:jc w:val="both"/>
      </w:pPr>
      <w:r>
        <w:t>- должности, связанные с закупочной деятельностью;</w:t>
      </w:r>
    </w:p>
    <w:p w14:paraId="520DFDF8" w14:textId="77777777" w:rsidR="004D77B1" w:rsidRPr="00E92D79" w:rsidRDefault="00E94855" w:rsidP="002D33C6">
      <w:pPr>
        <w:pStyle w:val="af4"/>
        <w:ind w:firstLine="709"/>
        <w:jc w:val="both"/>
      </w:pPr>
      <w:r w:rsidRPr="00E92D79">
        <w:t>- </w:t>
      </w:r>
      <w:r w:rsidR="004D77B1" w:rsidRPr="00E92D79">
        <w:t>_______________________________________</w:t>
      </w:r>
    </w:p>
    <w:p w14:paraId="7DD4FC5D" w14:textId="77777777" w:rsidR="00E94855" w:rsidRPr="005B3F77" w:rsidRDefault="005B3F77" w:rsidP="002D33C6">
      <w:pPr>
        <w:pStyle w:val="af4"/>
        <w:ind w:firstLine="709"/>
        <w:jc w:val="both"/>
        <w:rPr>
          <w:sz w:val="22"/>
        </w:rPr>
      </w:pPr>
      <w:r>
        <w:rPr>
          <w:sz w:val="22"/>
        </w:rPr>
        <w:t xml:space="preserve">                  </w:t>
      </w:r>
      <w:r w:rsidR="004D77B1" w:rsidRPr="005B3F77">
        <w:rPr>
          <w:sz w:val="22"/>
        </w:rPr>
        <w:t xml:space="preserve">(наименование </w:t>
      </w:r>
      <w:r w:rsidR="00E94855" w:rsidRPr="005B3F77">
        <w:rPr>
          <w:sz w:val="22"/>
        </w:rPr>
        <w:t>ины</w:t>
      </w:r>
      <w:r w:rsidR="004D77B1" w:rsidRPr="005B3F77">
        <w:rPr>
          <w:sz w:val="22"/>
        </w:rPr>
        <w:t>х</w:t>
      </w:r>
      <w:r w:rsidR="00E94855" w:rsidRPr="005B3F77">
        <w:rPr>
          <w:sz w:val="22"/>
        </w:rPr>
        <w:t xml:space="preserve"> должност</w:t>
      </w:r>
      <w:r w:rsidR="004D77B1" w:rsidRPr="005B3F77">
        <w:rPr>
          <w:sz w:val="22"/>
        </w:rPr>
        <w:t>ей)</w:t>
      </w:r>
      <w:r w:rsidR="00E94855" w:rsidRPr="005B3F77">
        <w:rPr>
          <w:rStyle w:val="af7"/>
          <w:sz w:val="22"/>
        </w:rPr>
        <w:footnoteReference w:id="4"/>
      </w:r>
    </w:p>
    <w:p w14:paraId="02E93D02" w14:textId="5F5DEC25" w:rsidR="002D33C6" w:rsidRPr="00E92D79" w:rsidRDefault="00F3638A" w:rsidP="00A472A4">
      <w:pPr>
        <w:pStyle w:val="af4"/>
        <w:ind w:firstLine="709"/>
        <w:jc w:val="both"/>
      </w:pPr>
      <w:r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14:paraId="48D61E1D" w14:textId="77777777"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хозяйственно-закупочная деятельность;</w:t>
      </w:r>
    </w:p>
    <w:p w14:paraId="594E14B4" w14:textId="77777777"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бухгалтерская деятельность;</w:t>
      </w:r>
    </w:p>
    <w:p w14:paraId="237D29E4" w14:textId="77777777"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14:paraId="13BCC3E8" w14:textId="77777777"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14:paraId="4BB457F9" w14:textId="77777777" w:rsidR="001C0234" w:rsidRPr="00E92D79" w:rsidRDefault="001C0234" w:rsidP="001C0234">
      <w:pPr>
        <w:pStyle w:val="af4"/>
        <w:ind w:firstLine="709"/>
        <w:jc w:val="both"/>
      </w:pPr>
    </w:p>
    <w:p w14:paraId="609FCA3D" w14:textId="77777777" w:rsidR="00B343B1" w:rsidRPr="00E92D79" w:rsidRDefault="00F3638A" w:rsidP="00F3638A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14:paraId="6D1E7DBE" w14:textId="77777777" w:rsidR="00B160DA" w:rsidRPr="00E92D79" w:rsidRDefault="00B160DA" w:rsidP="002C2EC5">
      <w:pPr>
        <w:keepNext/>
        <w:keepLines/>
        <w:tabs>
          <w:tab w:val="left" w:pos="0"/>
          <w:tab w:val="left" w:pos="993"/>
        </w:tabs>
        <w:ind w:firstLine="709"/>
      </w:pPr>
    </w:p>
    <w:p w14:paraId="45CADE54" w14:textId="77777777" w:rsidR="00A53304" w:rsidRPr="00E92D79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5"/>
      </w:r>
      <w:r w:rsidR="00A53304" w:rsidRPr="00E92D79">
        <w:t xml:space="preserve">: </w:t>
      </w:r>
    </w:p>
    <w:p w14:paraId="12C0238C" w14:textId="77777777"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14:paraId="70205BF7" w14:textId="77777777"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14:paraId="24751615" w14:textId="77777777"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представлять собой скрытое вознаграждение за услугу, действие, бездействие, попустительство, покровительство, предоставление прав, принятие </w:t>
      </w:r>
      <w:r w:rsidRPr="00E92D79">
        <w:lastRenderedPageBreak/>
        <w:t>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14:paraId="3ADCE724" w14:textId="77777777" w:rsidR="005E3005" w:rsidRPr="00E92D79" w:rsidRDefault="005E3005" w:rsidP="006B07D4">
      <w:pPr>
        <w:pStyle w:val="af4"/>
        <w:ind w:firstLine="709"/>
        <w:jc w:val="both"/>
      </w:pPr>
      <w:r w:rsidRPr="00E92D79">
        <w:t>- не создавать репутационного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14:paraId="479C1CCE" w14:textId="77777777" w:rsidR="00917000" w:rsidRDefault="005E3005" w:rsidP="006B07D4">
      <w:pPr>
        <w:pStyle w:val="af4"/>
        <w:ind w:firstLine="709"/>
        <w:jc w:val="both"/>
      </w:pPr>
      <w:r w:rsidRPr="00E92D79">
        <w:t>- не противоречить нормам действующего законодательства, принципам и требованиям настоящего Положения, другим локальн</w:t>
      </w:r>
      <w:r w:rsidR="00917000">
        <w:t>ым нормативным актам Учреждения;</w:t>
      </w:r>
    </w:p>
    <w:p w14:paraId="4B09E4AD" w14:textId="77777777" w:rsidR="00917000" w:rsidRDefault="00917000" w:rsidP="006B07D4">
      <w:pPr>
        <w:pStyle w:val="af4"/>
        <w:ind w:firstLine="709"/>
        <w:jc w:val="both"/>
      </w:pPr>
      <w:r>
        <w:t>- не носить систематический характер (от одних и тех же лиц или одним и тем же лицам в течение определенного периода);</w:t>
      </w:r>
    </w:p>
    <w:p w14:paraId="55969285" w14:textId="77777777" w:rsidR="005E3005" w:rsidRDefault="00917000" w:rsidP="006B07D4">
      <w:pPr>
        <w:pStyle w:val="af4"/>
        <w:ind w:firstLine="709"/>
        <w:jc w:val="both"/>
      </w:pPr>
      <w:r>
        <w:t xml:space="preserve">- </w:t>
      </w:r>
      <w:r w:rsidR="005E3005" w:rsidRPr="00E92D79">
        <w:t xml:space="preserve"> </w:t>
      </w:r>
      <w:r>
        <w:t>не вызывать конфликт интересов;</w:t>
      </w:r>
    </w:p>
    <w:p w14:paraId="0C7FD1B6" w14:textId="77777777" w:rsidR="00917000" w:rsidRPr="00E92D79" w:rsidRDefault="00917000" w:rsidP="006B07D4">
      <w:pPr>
        <w:pStyle w:val="af4"/>
        <w:ind w:firstLine="709"/>
        <w:jc w:val="both"/>
      </w:pPr>
      <w:r>
        <w:t>- не должны быть расценены в качестве оплаты за выполнение/невыполнение работником Учреждения, контрагентом, государственным или муниципальным служащим своих должностных обязанностей.</w:t>
      </w:r>
    </w:p>
    <w:p w14:paraId="1E9CDAFB" w14:textId="77777777"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14:paraId="02899AF1" w14:textId="77777777"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14:paraId="7409B529" w14:textId="77777777" w:rsidR="005E3005" w:rsidRPr="00E92D79" w:rsidRDefault="005E3005" w:rsidP="005E3005">
      <w:pPr>
        <w:pStyle w:val="af4"/>
        <w:ind w:firstLine="709"/>
        <w:jc w:val="both"/>
      </w:pPr>
    </w:p>
    <w:p w14:paraId="3377ED25" w14:textId="77777777"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Антикоррупционное просвещение работников</w:t>
      </w:r>
      <w:r w:rsidR="00CB0FC2" w:rsidRPr="00E92D79">
        <w:rPr>
          <w:b/>
        </w:rPr>
        <w:t xml:space="preserve"> Учреждения</w:t>
      </w:r>
    </w:p>
    <w:p w14:paraId="1AD1699A" w14:textId="77777777" w:rsidR="005E3005" w:rsidRPr="00E92D79" w:rsidRDefault="005E3005" w:rsidP="005E3005">
      <w:pPr>
        <w:pStyle w:val="af4"/>
        <w:ind w:firstLine="709"/>
        <w:jc w:val="both"/>
      </w:pPr>
    </w:p>
    <w:p w14:paraId="6ECD0585" w14:textId="77777777" w:rsidR="005E3005" w:rsidRPr="00E92D79" w:rsidRDefault="00F3638A" w:rsidP="005E3005">
      <w:pPr>
        <w:pStyle w:val="af4"/>
        <w:ind w:firstLine="709"/>
        <w:jc w:val="both"/>
      </w:pPr>
      <w:r w:rsidRPr="00E92D79">
        <w:t>24</w:t>
      </w:r>
      <w:r w:rsidR="005E3005" w:rsidRPr="00E92D79">
        <w:t xml:space="preserve">. Антикоррупционное просвещение </w:t>
      </w:r>
      <w:r w:rsidR="00CB0FC2" w:rsidRPr="00E92D79">
        <w:t xml:space="preserve">работников Учреждения </w:t>
      </w:r>
      <w:r w:rsidR="005E3005" w:rsidRPr="00E92D79">
        <w:t>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антикоррупционного образования, и антикоррупционного консультирования. </w:t>
      </w:r>
    </w:p>
    <w:p w14:paraId="4A59B195" w14:textId="77777777"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 xml:space="preserve">. Антикоррупционное образование работников </w:t>
      </w:r>
      <w:r w:rsidR="0066281D" w:rsidRPr="00E92D79">
        <w:t xml:space="preserve">Учреждения </w:t>
      </w:r>
      <w:r w:rsidR="005E3005" w:rsidRPr="00E92D79">
        <w:t>осуществляется за счет Учреждения в форме подготовки (переподготовки)</w:t>
      </w:r>
      <w:r w:rsidR="009B4E86">
        <w:t>,</w:t>
      </w:r>
      <w:r w:rsidR="005E3005" w:rsidRPr="00E92D79">
        <w:t xml:space="preserve"> повышения квалификации</w:t>
      </w:r>
      <w:r w:rsidR="009B4E86">
        <w:t xml:space="preserve"> и стажировки</w:t>
      </w:r>
      <w:r w:rsidR="005E3005" w:rsidRPr="00E92D79">
        <w:t xml:space="preserve">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</w:t>
      </w:r>
      <w:r w:rsidR="009B4E86">
        <w:t>профилактику коррупционных и иных правонарушений</w:t>
      </w:r>
      <w:r w:rsidR="00CB0FC2" w:rsidRPr="00E92D79">
        <w:t xml:space="preserve"> Учреждения</w:t>
      </w:r>
      <w:r w:rsidR="005E3005" w:rsidRPr="00E92D79">
        <w:t>.</w:t>
      </w:r>
    </w:p>
    <w:p w14:paraId="6DFE7B1E" w14:textId="77777777"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 xml:space="preserve">. Антикоррупционное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</w:t>
      </w:r>
      <w:r w:rsidR="009B4E86">
        <w:t>профилактику коррупционных и иных правонарушений</w:t>
      </w:r>
      <w:r w:rsidR="00456B85" w:rsidRPr="00E92D79">
        <w:t xml:space="preserve">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14:paraId="56C60D82" w14:textId="77777777" w:rsidR="005E3005" w:rsidRPr="00E92D79" w:rsidRDefault="005E3005" w:rsidP="005E3005">
      <w:pPr>
        <w:pStyle w:val="af4"/>
        <w:ind w:firstLine="709"/>
        <w:jc w:val="both"/>
      </w:pPr>
    </w:p>
    <w:p w14:paraId="07010561" w14:textId="77777777" w:rsidR="005E3005" w:rsidRPr="00E92D79" w:rsidRDefault="00F3638A" w:rsidP="004F03CE">
      <w:pPr>
        <w:pStyle w:val="af4"/>
        <w:rPr>
          <w:b/>
        </w:rPr>
      </w:pPr>
      <w:r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14:paraId="4D3802D9" w14:textId="77777777" w:rsidR="005E3005" w:rsidRPr="00E92D79" w:rsidRDefault="005E3005" w:rsidP="005E3005">
      <w:pPr>
        <w:pStyle w:val="af4"/>
        <w:ind w:firstLine="709"/>
        <w:jc w:val="both"/>
      </w:pPr>
    </w:p>
    <w:p w14:paraId="78D229E7" w14:textId="77777777" w:rsidR="005E3005" w:rsidRPr="00E92D79" w:rsidRDefault="00F3638A" w:rsidP="005E3005">
      <w:pPr>
        <w:pStyle w:val="af4"/>
        <w:ind w:firstLine="709"/>
        <w:jc w:val="both"/>
      </w:pPr>
      <w:r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14:paraId="319E726A" w14:textId="77777777"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14:paraId="26980AC6" w14:textId="77777777"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14:paraId="31E22599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14:paraId="4BC925FD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14:paraId="7EC338B8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14:paraId="2263D492" w14:textId="77777777"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</w:p>
    <w:p w14:paraId="6ADEA3E7" w14:textId="77777777"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r w:rsidR="00666C28" w:rsidRPr="00E92D79">
        <w:t xml:space="preserve">Учреждения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14:paraId="7A42BDF7" w14:textId="77777777"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14:paraId="6D7EA00B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14:paraId="2DCEB4D1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14:paraId="6DFB8246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14:paraId="64C1BB27" w14:textId="77777777"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14:paraId="7735AD98" w14:textId="77777777"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14:paraId="615185AC" w14:textId="77777777"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14:paraId="0F81EF3B" w14:textId="77777777" w:rsidR="005E3005" w:rsidRPr="00E92D79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14:paraId="06C35273" w14:textId="77777777"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14:paraId="0E3EB91B" w14:textId="77777777" w:rsidR="005E3005" w:rsidRPr="00E92D79" w:rsidRDefault="00C27D89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14:paraId="1750048C" w14:textId="77777777"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</w:t>
      </w:r>
      <w:r w:rsidR="009B4E86">
        <w:t>профилактику коррупционных и иных правонарушений</w:t>
      </w:r>
      <w:r w:rsidR="00456B85" w:rsidRPr="00E92D79">
        <w:t xml:space="preserve"> Учреждения</w:t>
      </w:r>
      <w:r w:rsidRPr="00E92D79">
        <w:t>.</w:t>
      </w:r>
    </w:p>
    <w:p w14:paraId="73CB2A20" w14:textId="77777777"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</w:p>
    <w:p w14:paraId="541C0177" w14:textId="77777777" w:rsidR="005E3005" w:rsidRPr="00E92D79" w:rsidRDefault="00C27D89" w:rsidP="005E3005">
      <w:pPr>
        <w:pStyle w:val="af4"/>
        <w:ind w:firstLine="709"/>
        <w:jc w:val="both"/>
      </w:pPr>
      <w:r w:rsidRPr="00E92D79"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14:paraId="5171052D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14:paraId="77E06C1B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456B85" w:rsidRPr="00E92D79">
        <w:t>а</w:t>
      </w:r>
      <w:r w:rsidRPr="00E92D79">
        <w:t>зыскные мероприятия.</w:t>
      </w:r>
    </w:p>
    <w:p w14:paraId="77A04310" w14:textId="77777777"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14:paraId="5A39B55F" w14:textId="77777777"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14:paraId="72EFE163" w14:textId="77777777" w:rsidR="005E3005" w:rsidRPr="00E92D79" w:rsidRDefault="005E3005" w:rsidP="005E3005">
      <w:pPr>
        <w:pStyle w:val="af4"/>
        <w:ind w:firstLine="709"/>
        <w:jc w:val="both"/>
      </w:pPr>
    </w:p>
    <w:p w14:paraId="77A69809" w14:textId="77777777" w:rsidR="00AA3E83" w:rsidRPr="00E92D79" w:rsidRDefault="00F3638A" w:rsidP="00F3638A">
      <w:pPr>
        <w:pStyle w:val="af4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14:paraId="4D2381E3" w14:textId="77777777"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14:paraId="663ABB9A" w14:textId="77777777" w:rsidR="00DD75DD" w:rsidRPr="00E92D79" w:rsidRDefault="00DD75DD" w:rsidP="00DD75DD">
      <w:pPr>
        <w:pStyle w:val="af4"/>
        <w:rPr>
          <w:b/>
        </w:rPr>
      </w:pPr>
    </w:p>
    <w:p w14:paraId="763BF07D" w14:textId="77777777" w:rsidR="00DD75DD" w:rsidRPr="00E92D79" w:rsidRDefault="00DD75DD" w:rsidP="00DD75DD">
      <w:pPr>
        <w:pStyle w:val="af4"/>
        <w:rPr>
          <w:b/>
        </w:rPr>
      </w:pPr>
    </w:p>
    <w:p w14:paraId="7485DAAD" w14:textId="77777777" w:rsidR="00DD75DD" w:rsidRPr="00E92D79" w:rsidRDefault="00C27D89" w:rsidP="00DD75DD">
      <w:pPr>
        <w:pStyle w:val="af4"/>
        <w:ind w:firstLine="709"/>
        <w:jc w:val="both"/>
      </w:pPr>
      <w:r w:rsidRPr="00E92D79">
        <w:lastRenderedPageBreak/>
        <w:t>38.</w:t>
      </w:r>
      <w:r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14:paraId="4E231502" w14:textId="77777777"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14:paraId="32E9D8CD" w14:textId="77777777"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</w:t>
      </w:r>
      <w:r w:rsidR="009B4E86">
        <w:t xml:space="preserve"> и Республики Саха (Якутия)</w:t>
      </w:r>
      <w:r w:rsidR="00DD75DD" w:rsidRPr="00E92D79">
        <w:t>.</w:t>
      </w:r>
    </w:p>
    <w:p w14:paraId="502EF99A" w14:textId="77777777" w:rsidR="005E3005" w:rsidRDefault="005E3005" w:rsidP="005E3005">
      <w:pPr>
        <w:pStyle w:val="af4"/>
        <w:ind w:firstLine="709"/>
        <w:jc w:val="both"/>
      </w:pPr>
    </w:p>
    <w:p w14:paraId="352A6D93" w14:textId="77777777" w:rsidR="00F3638A" w:rsidRPr="00E92D79" w:rsidRDefault="00F3638A" w:rsidP="005E300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14:paraId="37BA7812" w14:textId="77777777" w:rsidR="005E3005" w:rsidRPr="00E92D79" w:rsidRDefault="005E3005" w:rsidP="005E3005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14:paraId="079D11F3" w14:textId="77777777" w:rsidR="005E3005" w:rsidRPr="00E92D79" w:rsidRDefault="005E3005" w:rsidP="005E3005">
      <w:pPr>
        <w:pStyle w:val="af4"/>
        <w:ind w:firstLine="709"/>
        <w:jc w:val="both"/>
      </w:pPr>
    </w:p>
    <w:p w14:paraId="2FC64EBA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14:paraId="65C6F8EE" w14:textId="77777777" w:rsidR="005E3005" w:rsidRPr="00E92D79" w:rsidRDefault="005E3005" w:rsidP="005E3005">
      <w:pPr>
        <w:pStyle w:val="af4"/>
        <w:ind w:firstLine="709"/>
        <w:jc w:val="both"/>
      </w:pPr>
      <w:r w:rsidRPr="00E92D79">
        <w:t>42. </w:t>
      </w:r>
      <w:r w:rsidR="00FA6218" w:rsidRPr="00E92D79">
        <w:t>Должностное л</w:t>
      </w:r>
      <w:r w:rsidRPr="00E92D79">
        <w:t>ицо</w:t>
      </w:r>
      <w:r w:rsidR="00FA6218" w:rsidRPr="00E92D79">
        <w:t xml:space="preserve"> Учреждения</w:t>
      </w:r>
      <w:r w:rsidRPr="00E92D79">
        <w:t xml:space="preserve">, ответственное за </w:t>
      </w:r>
      <w:r w:rsidR="009B4E86">
        <w:t xml:space="preserve">профилактику коррупционных и иных правонарушений </w:t>
      </w:r>
      <w:r w:rsidR="00456B85" w:rsidRPr="00E92D79">
        <w:t>Учреждения</w:t>
      </w:r>
      <w:r w:rsidRPr="00E92D79">
        <w:t>, ежегодно готовит отчет о реализации мер по предупреждению коррупции в</w:t>
      </w:r>
      <w:r w:rsidR="00374796" w:rsidRPr="00E92D79">
        <w:t xml:space="preserve"> </w:t>
      </w:r>
      <w:r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Pr="00E92D79">
        <w:t xml:space="preserve">а основании </w:t>
      </w:r>
      <w:r w:rsidR="00006D94" w:rsidRPr="00E92D79">
        <w:t xml:space="preserve">указанного отчета </w:t>
      </w:r>
      <w:r w:rsidRPr="00E92D79">
        <w:t>в настоящее Положение могут быть внесены изменения.</w:t>
      </w:r>
    </w:p>
    <w:p w14:paraId="1D48A79E" w14:textId="77777777" w:rsidR="00616DDF" w:rsidRDefault="005E3005" w:rsidP="004F03CE">
      <w:pPr>
        <w:pStyle w:val="af4"/>
        <w:ind w:firstLine="709"/>
        <w:jc w:val="both"/>
        <w:rPr>
          <w:sz w:val="24"/>
          <w:szCs w:val="24"/>
        </w:rPr>
      </w:pPr>
      <w:r w:rsidRPr="00E92D79">
        <w:t xml:space="preserve">43.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3270" w14:textId="77777777" w:rsidR="005D1FD8" w:rsidRDefault="005D1FD8" w:rsidP="00D70CFE">
      <w:r>
        <w:separator/>
      </w:r>
    </w:p>
  </w:endnote>
  <w:endnote w:type="continuationSeparator" w:id="0">
    <w:p w14:paraId="2ECBFA29" w14:textId="77777777" w:rsidR="005D1FD8" w:rsidRDefault="005D1FD8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3C07" w14:textId="77777777" w:rsidR="00374796" w:rsidRDefault="00374796">
    <w:pPr>
      <w:pStyle w:val="aa"/>
      <w:jc w:val="right"/>
    </w:pPr>
  </w:p>
  <w:p w14:paraId="7707D3A6" w14:textId="77777777"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6C19" w14:textId="77777777" w:rsidR="005D1FD8" w:rsidRDefault="005D1FD8" w:rsidP="00D70CFE">
      <w:r>
        <w:separator/>
      </w:r>
    </w:p>
  </w:footnote>
  <w:footnote w:type="continuationSeparator" w:id="0">
    <w:p w14:paraId="2BB695EC" w14:textId="77777777" w:rsidR="005D1FD8" w:rsidRDefault="005D1FD8" w:rsidP="00D70CFE">
      <w:r>
        <w:continuationSeparator/>
      </w:r>
    </w:p>
  </w:footnote>
  <w:footnote w:id="1">
    <w:p w14:paraId="721AAB4E" w14:textId="77777777" w:rsidR="0098255C" w:rsidRDefault="0098255C" w:rsidP="0098255C">
      <w:pPr>
        <w:pStyle w:val="af5"/>
        <w:jc w:val="both"/>
      </w:pPr>
      <w:r>
        <w:t>"О закупках товаров, работ, услуг отдельными видами юридических лиц".</w:t>
      </w:r>
    </w:p>
  </w:footnote>
  <w:footnote w:id="2">
    <w:p w14:paraId="042AB7A4" w14:textId="77777777"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805988">
        <w:t>Обращаем внимание</w:t>
      </w:r>
      <w:r w:rsidRPr="00EA7820">
        <w:t xml:space="preserve">, что </w:t>
      </w:r>
      <w:r>
        <w:t xml:space="preserve">федеральные законы, регулирующие </w:t>
      </w:r>
      <w:r w:rsidR="006A6354">
        <w:t>отношения, которые возникают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  <w:footnote w:id="3">
    <w:p w14:paraId="75D3BC0F" w14:textId="77777777" w:rsidR="00F72E19" w:rsidRDefault="00F72E19" w:rsidP="0041575A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41575A">
        <w:rPr>
          <w:rStyle w:val="af7"/>
          <w:sz w:val="20"/>
          <w:szCs w:val="20"/>
        </w:rPr>
        <w:footnoteRef/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основании</w:t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 об антикоррупционной политике, утвержденного в конкретном учреждении,</w:t>
      </w:r>
      <w:r w:rsidRPr="0041575A">
        <w:rPr>
          <w:sz w:val="20"/>
          <w:szCs w:val="20"/>
        </w:rPr>
        <w:t xml:space="preserve"> </w:t>
      </w:r>
      <w:r w:rsidRPr="00F72E19">
        <w:rPr>
          <w:sz w:val="20"/>
          <w:szCs w:val="20"/>
        </w:rPr>
        <w:t>утверждается план реализации антикоррупционных мероприятий.</w:t>
      </w:r>
    </w:p>
  </w:footnote>
  <w:footnote w:id="4">
    <w:p w14:paraId="56E26F1A" w14:textId="77777777" w:rsidR="00E94855" w:rsidRPr="00E94855" w:rsidRDefault="00E94855" w:rsidP="00E94855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94855">
        <w:t>Учреждению необход</w:t>
      </w:r>
      <w:r>
        <w:t xml:space="preserve">имо указать </w:t>
      </w:r>
      <w:r w:rsidR="004D77B1">
        <w:t xml:space="preserve">наименования </w:t>
      </w:r>
      <w:r>
        <w:t>должност</w:t>
      </w:r>
      <w:r w:rsidR="004D77B1">
        <w:t>ей</w:t>
      </w:r>
      <w:r>
        <w:t xml:space="preserve"> исходя из </w:t>
      </w:r>
      <w:r w:rsidRPr="00E94855">
        <w:t>своих коррупционных рисков</w:t>
      </w:r>
      <w:r>
        <w:t>.</w:t>
      </w:r>
    </w:p>
  </w:footnote>
  <w:footnote w:id="5">
    <w:p w14:paraId="47CD28C3" w14:textId="77777777" w:rsidR="00374796" w:rsidRDefault="00374796" w:rsidP="00CD11E6">
      <w:pPr>
        <w:pStyle w:val="af5"/>
        <w:jc w:val="both"/>
      </w:pPr>
      <w:r>
        <w:rPr>
          <w:rStyle w:val="af7"/>
        </w:rPr>
        <w:footnoteRef/>
      </w:r>
      <w:r>
        <w:t xml:space="preserve"> В отношении дарения подарков </w:t>
      </w:r>
      <w:r w:rsidRPr="005E3005">
        <w:t>работник</w:t>
      </w:r>
      <w:r>
        <w:t>ам</w:t>
      </w:r>
      <w:r w:rsidRPr="005E3005">
        <w:t xml:space="preserve">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</w:t>
      </w:r>
      <w:r>
        <w:t>и</w:t>
      </w:r>
      <w:r w:rsidRPr="005E3005">
        <w:t xml:space="preserve"> и </w:t>
      </w:r>
      <w:r>
        <w:t xml:space="preserve">(или) </w:t>
      </w:r>
      <w:r w:rsidRPr="005E3005">
        <w:t>родственникам</w:t>
      </w:r>
      <w:r>
        <w:t>и</w:t>
      </w:r>
      <w:r w:rsidRPr="005E3005">
        <w:t xml:space="preserve"> этих граждан</w:t>
      </w:r>
      <w:r>
        <w:t>, действует норма, закрепленная пунктом 1 статьи 575 Гражданского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414FA36" w14:textId="77777777" w:rsidR="00374796" w:rsidRPr="00E755BB" w:rsidRDefault="00374796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B93431">
          <w:rPr>
            <w:noProof/>
            <w:sz w:val="20"/>
          </w:rPr>
          <w:t>14</w:t>
        </w:r>
        <w:r w:rsidRPr="00E755BB">
          <w:rPr>
            <w:sz w:val="20"/>
          </w:rPr>
          <w:fldChar w:fldCharType="end"/>
        </w:r>
      </w:p>
    </w:sdtContent>
  </w:sdt>
  <w:p w14:paraId="43CFBD16" w14:textId="77777777" w:rsidR="00374796" w:rsidRDefault="003747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5B9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0B97"/>
    <w:rsid w:val="001B2CF3"/>
    <w:rsid w:val="001B49F0"/>
    <w:rsid w:val="001B7F97"/>
    <w:rsid w:val="001C0234"/>
    <w:rsid w:val="001C1202"/>
    <w:rsid w:val="001C3B37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3A0B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3E98"/>
    <w:rsid w:val="004B447F"/>
    <w:rsid w:val="004B6E34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9F8"/>
    <w:rsid w:val="00544EFB"/>
    <w:rsid w:val="00546621"/>
    <w:rsid w:val="00547FEA"/>
    <w:rsid w:val="00551204"/>
    <w:rsid w:val="00560E86"/>
    <w:rsid w:val="00572263"/>
    <w:rsid w:val="005755AF"/>
    <w:rsid w:val="00580DA4"/>
    <w:rsid w:val="005A06F4"/>
    <w:rsid w:val="005A337D"/>
    <w:rsid w:val="005A7643"/>
    <w:rsid w:val="005B3F77"/>
    <w:rsid w:val="005C3FB9"/>
    <w:rsid w:val="005C5D9C"/>
    <w:rsid w:val="005D1FD8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27109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7661B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190F"/>
    <w:rsid w:val="00815591"/>
    <w:rsid w:val="00815EE4"/>
    <w:rsid w:val="008210B1"/>
    <w:rsid w:val="00822585"/>
    <w:rsid w:val="008260F6"/>
    <w:rsid w:val="008335FA"/>
    <w:rsid w:val="008348E3"/>
    <w:rsid w:val="00836046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000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B4E86"/>
    <w:rsid w:val="009C10E9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472A4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AF1292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47429"/>
    <w:rsid w:val="00B5737E"/>
    <w:rsid w:val="00B821FF"/>
    <w:rsid w:val="00B82369"/>
    <w:rsid w:val="00B865F2"/>
    <w:rsid w:val="00B926FE"/>
    <w:rsid w:val="00B93431"/>
    <w:rsid w:val="00B93B19"/>
    <w:rsid w:val="00B93B5C"/>
    <w:rsid w:val="00BA3933"/>
    <w:rsid w:val="00BC6C15"/>
    <w:rsid w:val="00BD23D1"/>
    <w:rsid w:val="00BD6A90"/>
    <w:rsid w:val="00BE3708"/>
    <w:rsid w:val="00BE502F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691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3D2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2A3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220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09BDB"/>
  <w15:docId w15:val="{E6BD8CB3-BDA6-4C63-9554-AEE95BD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CC39-AD2B-46A4-84AB-6CB2232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ALFA</cp:lastModifiedBy>
  <cp:revision>7</cp:revision>
  <cp:lastPrinted>2019-02-28T02:19:00Z</cp:lastPrinted>
  <dcterms:created xsi:type="dcterms:W3CDTF">2019-02-06T02:37:00Z</dcterms:created>
  <dcterms:modified xsi:type="dcterms:W3CDTF">2023-03-06T07:52:00Z</dcterms:modified>
</cp:coreProperties>
</file>