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Библиотека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Georgia" w:cs="Georgia" w:eastAsia="Georgia" w:hAnsi="Georgia"/>
          <w:color w:val="555555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555555"/>
          <w:sz w:val="21"/>
          <w:szCs w:val="21"/>
          <w:rtl w:val="0"/>
        </w:rPr>
        <w:t xml:space="preserve">В процессе образовательной деятельности используются печатные пособия, разработанные в соответствии с требованиями ФГОС ДО.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Отдельного помещения  под библиотеку в ДОУ не имеется</w:t>
      </w:r>
    </w:p>
    <w:p w:rsidR="00000000" w:rsidDel="00000000" w:rsidP="00000000" w:rsidRDefault="00000000" w:rsidRPr="00000000" w14:paraId="00000004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