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Индивидуальный предприниматель Ярахмедова Наила Разахановна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367018 город Махачкала, ул.Ирчи Казака 35 к     тел 89282194030</w:t>
      </w:r>
      <w:r>
        <w:rPr>
          <w:rFonts w:ascii="Times New Roman" w:hAnsi="Times New Roman" w:cs="Times New Roman"/>
          <w:b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самообследовании за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9"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Детского центра развития сада «Немо»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669"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669"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669"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669"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669"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669"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669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669"/>
        <w:jc w:val="center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</w:p>
    <w:p>
      <w:pPr>
        <w:pStyle w:val="669"/>
        <w:jc w:val="center"/>
        <w:spacing w:line="360" w:lineRule="auto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</w:p>
    <w:p>
      <w:pPr>
        <w:pStyle w:val="669"/>
        <w:jc w:val="center"/>
        <w:spacing w:line="360" w:lineRule="auto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</w:p>
    <w:p>
      <w:pPr>
        <w:pStyle w:val="669"/>
        <w:jc w:val="center"/>
        <w:spacing w:line="360" w:lineRule="auto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</w:p>
    <w:p>
      <w:pPr>
        <w:pStyle w:val="669"/>
        <w:jc w:val="center"/>
        <w:spacing w:line="360" w:lineRule="auto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</w:p>
    <w:p>
      <w:pPr>
        <w:pStyle w:val="669"/>
        <w:jc w:val="center"/>
        <w:spacing w:line="360" w:lineRule="auto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Махачкала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</w:p>
    <w:p>
      <w:pPr>
        <w:pStyle w:val="669"/>
        <w:jc w:val="center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69"/>
        <w:jc w:val="center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69"/>
        <w:jc w:val="center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69"/>
        <w:jc w:val="center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2024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Самообследование ДЦР сада «НЕмо»проведено в соответствии с приказом МИНОБР науки РФ от 10.12.2013 № 1324 и отражает</w:t>
      </w:r>
      <w:r>
        <w:rPr>
          <w:rFonts w:ascii="Times New Roman" w:hAnsi="Times New Roman" w:cs="Times New Roman"/>
          <w:sz w:val="24"/>
          <w:szCs w:val="24"/>
        </w:rPr>
        <w:t xml:space="preserve"> результаты деятельности за 2023</w:t>
      </w:r>
      <w:r>
        <w:rPr>
          <w:rFonts w:ascii="Times New Roman" w:hAnsi="Times New Roman" w:cs="Times New Roman"/>
          <w:sz w:val="24"/>
          <w:szCs w:val="24"/>
        </w:rPr>
        <w:t xml:space="preserve"> год. 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характеристика ДЦР «Немо»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71"/>
        <w:tblW w:w="0" w:type="auto"/>
        <w:tblLook w:val="04A0" w:firstRow="1" w:lastRow="0" w:firstColumn="1" w:lastColumn="0" w:noHBand="0" w:noVBand="1"/>
      </w:tblPr>
      <w:tblGrid>
        <w:gridCol w:w="3437"/>
        <w:gridCol w:w="5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7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8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центр развития сад «Немо»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7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8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Ярахмедова Наила Разахановна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7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8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Дагестан.город Махачкала,ул. Ирчи казака 35к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7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before="12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Телефон, факс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8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89282194030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7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before="12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электронной почты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8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yarahmedov104@mail.ru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7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before="12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8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Пятидневная рабочая неделя с 8/00 до 19.00 Нерабочие дни: суббота, воскресенье.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7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before="12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создания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8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07августа 2015 год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7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before="12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Лицензия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8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Лицензия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осуществление образовательной деятельности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9130  от 22.01.2018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669"/>
        <w:ind w:firstLine="708"/>
        <w:jc w:val="both"/>
        <w:spacing w:line="276" w:lineRule="auto"/>
        <w:rPr>
          <w:rStyle w:val="673"/>
          <w:rFonts w:ascii="Times New Roman" w:hAnsi="Times New Roman" w:cs="Times New Roman"/>
          <w:i w:val="0"/>
          <w:sz w:val="24"/>
          <w:szCs w:val="24"/>
        </w:rPr>
      </w:pPr>
      <w:r>
        <w:rPr>
          <w:rStyle w:val="673"/>
          <w:rFonts w:ascii="Times New Roman" w:hAnsi="Times New Roman" w:cs="Times New Roman"/>
          <w:i w:val="0"/>
          <w:sz w:val="24"/>
          <w:szCs w:val="24"/>
        </w:rPr>
        <w:t xml:space="preserve">Цель деятельности </w:t>
      </w: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ДЦР «Немо» </w:t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  <w:t xml:space="preserve"> — осуществление образовательной деятельности по</w:t>
      </w: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  <w:t xml:space="preserve">реализации образовательных программ дошкольного образования.</w:t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</w:r>
    </w:p>
    <w:p>
      <w:pPr>
        <w:pStyle w:val="669"/>
        <w:jc w:val="both"/>
        <w:spacing w:line="276" w:lineRule="auto"/>
        <w:rPr>
          <w:rStyle w:val="673"/>
          <w:rFonts w:ascii="Times New Roman" w:hAnsi="Times New Roman" w:cs="Times New Roman"/>
          <w:i w:val="0"/>
          <w:sz w:val="24"/>
          <w:szCs w:val="24"/>
        </w:rPr>
      </w:pPr>
      <w:r>
        <w:rPr>
          <w:rStyle w:val="673"/>
          <w:rFonts w:ascii="Times New Roman" w:hAnsi="Times New Roman" w:cs="Times New Roman"/>
          <w:i w:val="0"/>
          <w:sz w:val="24"/>
          <w:szCs w:val="24"/>
        </w:rPr>
        <w:t xml:space="preserve">Предметом деятельности </w:t>
      </w: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ДЦР «Немо»</w:t>
      </w:r>
      <w:r/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  <w:t xml:space="preserve"> 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воспитанников.</w:t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</w:r>
    </w:p>
    <w:p>
      <w:pPr>
        <w:pStyle w:val="669"/>
        <w:ind w:firstLine="708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Р</w:t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  <w:t xml:space="preserve">ежим работы </w:t>
      </w: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ДОУ</w:t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  <w:t xml:space="preserve">: рабочая неделя — пятидневная, с понедельника по пятницу. Длительность пребывания детей в группах — 11 часов. Режим работы групп — с8.00</w:t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  <w:t xml:space="preserve"> до </w:t>
      </w: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19.00.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детский сад поступают дети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1,6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лет. В основном малыши приходят из дома, поэтому работа с такими детьми начинается с адаптации.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69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ДЦР «Немо»</w:t>
      </w:r>
      <w:r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функционирует 4 групп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69"/>
        <w:jc w:val="both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приёма и отчисления воспитанников осуществляется на основании приказа заведующего </w:t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ДЦР «Немо»</w:t>
      </w:r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образовательной деятельности </w:t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ДЦР «Немо»</w:t>
      </w:r>
      <w:r/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69"/>
        <w:ind w:firstLine="708"/>
        <w:jc w:val="both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Образовательная деятельность в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ДЦР «Немо»</w:t>
      </w:r>
      <w:r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рганизована в соответствии с </w:t>
      </w:r>
      <w:hyperlink r:id="rId9" w:tooltip="https://1obraz.ru/#/document/99/902389617/" w:anchor="/document/99/902389617/" w:history="1">
        <w:r>
          <w:rPr>
            <w:rStyle w:val="66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Ф</w:t>
        </w:r>
        <w:r>
          <w:rPr>
            <w:rStyle w:val="667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 xml:space="preserve">З</w:t>
        </w:r>
        <w:r>
          <w:rPr>
            <w:rStyle w:val="66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от 29.12.2012 № 273-ФЗ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«Об образовании в Российской Федерации», </w:t>
      </w:r>
      <w:hyperlink r:id="rId10" w:tooltip="https://1obraz.ru/#/document/99/499057887/" w:anchor="/document/99/499057887/" w:history="1">
        <w:r>
          <w:rPr>
            <w:rStyle w:val="66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ФГОС дошкольного образовани</w:t>
        </w:r>
      </w:hyperlink>
      <w:r/>
      <w:hyperlink r:id="rId11" w:tooltip="https://1obraz.ru/#/document/99/499057887/" w:anchor="/document/99/499057887/" w:history="1">
        <w:r>
          <w:rPr>
            <w:rStyle w:val="66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я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С 01.01.2021 года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, ФОП ДО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риказ Минпросвещения России от 25.11.2022 № 1028 «Об утверждении федеральной образовательной программы дошкольного образования»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r>
    </w:p>
    <w:p>
      <w:pPr>
        <w:pStyle w:val="669"/>
        <w:ind w:firstLine="708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Детский сад функци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онирует в соответствии с требованиями  </w:t>
      </w:r>
      <w:hyperlink r:id="rId12" w:tooltip="https://1obraz.ru/#/document/99/566085656/" w:anchor="/document/99/566085656/" w:history="1">
        <w:r>
          <w:rPr>
            <w:rStyle w:val="66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СП 2.4.3648-20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«Санитарно-эпидемиологические требования к организациям воспитания и обучения, отдыха и оздоровления дете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й и молодежи»,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 требованиями </w:t>
      </w:r>
      <w:hyperlink r:id="rId13" w:tooltip="https://1obraz.ru/#/document/99/573500115/ZAP2EI83I9/" w:anchor="/document/99/573500115/ZAP2EI83I9/" w:history="1">
        <w:r>
          <w:rPr>
            <w:rStyle w:val="66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СанПиН 1.2.3685-21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«Гигиенические нормативы и требования к обеспечению безопасности и (или) безвредности для человека факторов среды обитания».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</w:t>
      </w:r>
      <w:hyperlink r:id="rId14" w:tooltip="https://1obraz.ru/#/document/99/499057887/" w:anchor="/document/99/499057887/" w:history="1">
        <w:r>
          <w:rPr>
            <w:rFonts w:ascii="Times New Roman" w:hAnsi="Times New Roman" w:cs="Times New Roman"/>
            <w:sz w:val="24"/>
            <w:szCs w:val="24"/>
          </w:rPr>
          <w:t xml:space="preserve">ФГОС дошкольного образования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 с учетом примерной образовательной программы дошкольного образования, санитарно-эпидемиологическими правилами и нормативами.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целью образовательной   деятельности </w:t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ДЦР «Немо»</w:t>
      </w:r>
      <w:r/>
      <w:r>
        <w:rPr>
          <w:rFonts w:ascii="Times New Roman" w:hAnsi="Times New Roman" w:cs="Times New Roman"/>
          <w:sz w:val="24"/>
          <w:szCs w:val="24"/>
        </w:rPr>
        <w:t xml:space="preserve"> является: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Достижение поставленной цели предусматривает решение следующих задач: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6"/>
        <w:ind w:firstLine="540"/>
        <w:jc w:val="both"/>
        <w:spacing w:before="2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единых для Российской Федерации содержания ДО и планируемых результатов освоения образовательной программы ДО;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6"/>
        <w:ind w:firstLine="540"/>
        <w:jc w:val="both"/>
        <w:spacing w:before="2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приобщение детей (в соответствии с возрастными особенностями) к базовым ц</w:t>
      </w:r>
      <w:r>
        <w:rPr>
          <w:rFonts w:ascii="Times New Roman" w:hAnsi="Times New Roman" w:cs="Times New Roman"/>
          <w:sz w:val="24"/>
          <w:szCs w:val="24"/>
        </w:rPr>
        <w:t xml:space="preserve">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</w:t>
      </w:r>
      <w:r>
        <w:rPr>
          <w:rFonts w:ascii="Times New Roman" w:hAnsi="Times New Roman" w:cs="Times New Roman"/>
          <w:sz w:val="24"/>
          <w:szCs w:val="24"/>
        </w:rPr>
        <w:t xml:space="preserve">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6"/>
        <w:ind w:firstLine="540"/>
        <w:jc w:val="both"/>
        <w:spacing w:before="2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6"/>
        <w:ind w:firstLine="540"/>
        <w:jc w:val="both"/>
        <w:spacing w:before="2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6"/>
        <w:ind w:firstLine="540"/>
        <w:jc w:val="both"/>
        <w:spacing w:before="2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охрана и укрепление физического и психического здоровья детей, в том числе их эмоционального благополучия;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6"/>
        <w:ind w:firstLine="540"/>
        <w:jc w:val="both"/>
        <w:spacing w:before="2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6"/>
        <w:ind w:firstLine="540"/>
        <w:jc w:val="both"/>
        <w:spacing w:before="2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6"/>
        <w:ind w:firstLine="540"/>
        <w:jc w:val="both"/>
        <w:spacing w:before="2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rPr>
          <w:rStyle w:val="674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МАДОУ № 24  реализуется Основная образовательная программа дошкольного образования (</w:t>
      </w:r>
      <w:r>
        <w:rPr>
          <w:rFonts w:ascii="Times New Roman" w:hAnsi="Times New Roman" w:cs="Times New Roman"/>
          <w:sz w:val="24"/>
          <w:szCs w:val="24"/>
        </w:rPr>
        <w:t xml:space="preserve">разработанная на основе ФОП ДО)</w:t>
      </w:r>
      <w:r>
        <w:rPr>
          <w:rFonts w:ascii="Times New Roman" w:hAnsi="Times New Roman" w:cs="Times New Roman"/>
          <w:sz w:val="24"/>
          <w:szCs w:val="24"/>
        </w:rPr>
        <w:t xml:space="preserve">,  дополняет содержание образовательного процесса парциальная  программа  «Основы безопасности жизнедеятельности детей старшего дошкольного возраста» (под редакцией Н.Н. Авдеева, О.Л. Князева, Р.Б. Стёркина) </w:t>
      </w:r>
      <w:r>
        <w:br/>
      </w:r>
      <w:r>
        <w:rPr>
          <w:rStyle w:val="674"/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708"/>
        <w:jc w:val="center"/>
        <w:rPr>
          <w:rStyle w:val="675"/>
          <w:rFonts w:ascii="Times New Roman" w:hAnsi="Times New Roman" w:cs="Times New Roman"/>
          <w:sz w:val="24"/>
          <w:szCs w:val="24"/>
        </w:rPr>
      </w:pPr>
      <w:r>
        <w:rPr>
          <w:rStyle w:val="674"/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Воспитательная работа</w:t>
      </w:r>
      <w:r>
        <w:rPr>
          <w:rStyle w:val="675"/>
          <w:rFonts w:ascii="Times New Roman" w:hAnsi="Times New Roman" w:cs="Times New Roman"/>
          <w:sz w:val="24"/>
          <w:szCs w:val="24"/>
        </w:rPr>
      </w:r>
    </w:p>
    <w:p>
      <w:pPr>
        <w:pStyle w:val="669"/>
        <w:jc w:val="both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 01.09.202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ДЦР «Немо»</w:t>
      </w:r>
      <w:r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69"/>
        <w:jc w:val="both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системы управления МАДОУ № 24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Управление </w:t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ДЦР «Немо»</w:t>
      </w:r>
      <w:r/>
      <w:r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действующим законодательством и уставом </w:t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ДЦР «Немо»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Управление </w:t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ДЦР «Немо»</w:t>
      </w:r>
      <w:r/>
      <w:r>
        <w:rPr>
          <w:rFonts w:ascii="Times New Roman" w:hAnsi="Times New Roman" w:cs="Times New Roman"/>
          <w:sz w:val="24"/>
          <w:szCs w:val="24"/>
        </w:rPr>
        <w:t xml:space="preserve">строится на принципах единоначалия и коллегиальност</w:t>
      </w:r>
      <w:r>
        <w:rPr>
          <w:rFonts w:ascii="Times New Roman" w:hAnsi="Times New Roman" w:cs="Times New Roman"/>
          <w:sz w:val="24"/>
          <w:szCs w:val="24"/>
        </w:rPr>
        <w:t xml:space="preserve">и. Коллегиальными органами управления являются: Наблюдательный совет, Педагогический совет; Общее собрание трудового коллектива  </w:t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ДЦР «Немо»</w:t>
      </w:r>
      <w:r/>
      <w:r>
        <w:rPr>
          <w:rFonts w:ascii="Times New Roman" w:hAnsi="Times New Roman" w:cs="Times New Roman"/>
          <w:sz w:val="24"/>
          <w:szCs w:val="24"/>
        </w:rPr>
        <w:t xml:space="preserve">; Родительский комитет </w:t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ДЦР «Немо»</w:t>
      </w:r>
      <w:r/>
      <w:r>
        <w:rPr>
          <w:rFonts w:ascii="Times New Roman" w:hAnsi="Times New Roman" w:cs="Times New Roman"/>
          <w:sz w:val="24"/>
          <w:szCs w:val="24"/>
        </w:rPr>
        <w:t xml:space="preserve">. Единоличным исполнительным органом является руководитель – заведующий </w:t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ДЦР «Немо»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Функции органов управления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671"/>
        <w:tblW w:w="0" w:type="auto"/>
        <w:tblLook w:val="04A0" w:firstRow="1" w:lastRow="0" w:firstColumn="1" w:lastColumn="0" w:noHBand="0" w:noVBand="1"/>
      </w:tblPr>
      <w:tblGrid>
        <w:gridCol w:w="2507"/>
        <w:gridCol w:w="684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7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48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7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48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</w:t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</w:rPr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ДЦР «Немо»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несет персональную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тветственность за результаты деятельности </w:t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ДЦР «Немо»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сохранность, целевое использование переданного имущества, состояние трудовой дисциплины, безопасные условия труда работников; разрабатывает Устав </w:t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</w:rPr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ДЦР «Немо»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изменения, вносимые в него; при осуществлен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своих прав и исполнении обязанностей действует в интересах </w:t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</w:rPr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ДЦР «Немо»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добросовестно и разумно; в соответствии с законодательством РФ и Уставом МАДОУ № 24 распоряжается имуществом и денежными средствами, заключает договоры, выдает доверенности, открывает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лицевые счета, расчетные счета; утверждает структуру, штатное расписание МАДОУ № 24 в соответствии с формой и в порядке, утвержденными Учредителем; принимает на работу и увольняет работников в установленном порядке, определяет размеры оплаты их труда;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ает в пределах своей компетенции приказы, организует контроль над их исполнением; организует и проводит мероприятия по подбору, подготовке и повышению квалификации кадров; рассматривает поступившие обращения граждан и юридических лиц; обеспечивает исполнен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законодательства РФ и в пределах своей компетенции; ведет коллективные переговоры и заключает коллективные договоры; поощряет работников за добросовестный и эффективный труд; заключает от имени </w:t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</w:rPr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ДЦР «Немо»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договоры, в том числе договоры об образовании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жду родителями (законными представителями) воспитанников и ДОУ ; создает условия для реализации образовательных программ в </w:t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ДЦР «Немо»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планирует, организует и контролирует образовательную деятельность, отвечает за качество и эффективность работы </w:t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</w:rPr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ДЦР «Немо»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контролирует график прохождения аттестации работников </w:t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</w:rPr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ДЦР «Немо»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контингент воспитанников ДОУ, организует прием детей и комплектование групп детьми в соответствии с их возрастом, состоянием здоровья, индивидуальными особенно </w:t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</w:rPr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ДЦР «Немо»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стями в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установленном Уставом </w:t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</w:rPr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ДЦР «Немо»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несет ответственность за жизнь и здоровье воспитанников и работников во время образовательной деятельности, соблюдение норм охраны труда и техники безопасности; осуществляет взаимосвязь с родителями (законными представит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елями) воспитанников, общественными организациями, другими ДОО; осуществляет иные функции и обязанности, предусмотренные действующим законодательством РФ, муниципальными правовыми актами муниципального образования, Уставом </w:t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</w:rPr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ДЦР «Немо»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и трудовым договором.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7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трудового коллектива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48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обсуждает проект коллективного договора; рассматривает и обсуждает Программу развития</w:t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</w:rPr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ДЦР «Немо»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рассматривает и обсуждает проект годового плана работы </w:t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</w:rPr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ДЦР «Немо»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обсуждает вопросы состояния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</w:rPr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ДЦР «Немо»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мероприятия по ее укреплению; рассматривает вопросы охраны и безопасности условий труда работников, охраны здоровья воспитанников в</w:t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</w:rPr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ДЦР «Немо»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обсуждает изменения Устава; обсуждает вопросы привлечения для уставной деятельности </w:t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</w:rPr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ДЦР «Немо»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ополнительных источников финансирования и материальных средств; утверждает ежегодный отчет о поступлении и расходовании средств; рассматривает (до утверждения заведующим) Правила внутреннего трудового распорядка и иные локальные нормативные акты </w:t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</w:rPr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ДЦР «Немо»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7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48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направления образовательной деятельности </w:t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</w:rPr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ДЦР «Немо»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выбирает основные общеобразовательные программы, образовательные и воспитательные технологии и методики для использования в </w:t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</w:rPr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ДЦР «Немо»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рассматривает проект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ового плана </w:t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</w:rPr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ДЦР «Немо»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организует выявление, обобщение, распространение, внедрение педагогического опыта; рассматривает вопросы повышения квалификации и переподготовки кадров; принимает решения о награждении, поощрении педагогических работников </w:t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</w:rPr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ДЦР «Немо»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7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комитет </w:t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</w:rPr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ДЦР «Немо»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48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ует организации совместных мероприятий в </w:t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</w:rPr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ДЦР «Немо»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оказывает посильную помощь </w:t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</w:rPr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ДЦР «Немо»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укреплении материально-технической базы, благоустройстве его помещений, детских площадок и территории; помогает в работе с воспитанниками из неблагополучных семей.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Вывод: управление в </w:t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</w:rPr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ДЦР «Немо»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в соответствии с действующим законодательством на основе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ципов единоначалия и коллегиальности. Управление  </w:t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</w:rPr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ДЦР «Немо»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его стабильное функционирование, взаимосвязь всех структурных подразделений. В </w:t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</w:rPr>
            </w:r>
            <w:r>
              <w:rPr>
                <w:rStyle w:val="67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ДЦР «Немо»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возможность участия в его управлении всех участников образовательного процесса.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содержания и качества подготовки воспитанников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целью повышения качества работы, достижения более высоких результатов развития воспитанников в </w:t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ДЦР «Немо»</w:t>
      </w:r>
      <w:r/>
      <w:r>
        <w:rPr>
          <w:rFonts w:ascii="Times New Roman" w:hAnsi="Times New Roman" w:cs="Times New Roman"/>
          <w:sz w:val="24"/>
          <w:szCs w:val="24"/>
        </w:rPr>
        <w:t xml:space="preserve">  проводится мониторинг: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уровня освоения воспитанниками программного материала;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заболеваемости воспитанников.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</w:t>
      </w:r>
      <w:r>
        <w:rPr>
          <w:rFonts w:ascii="Times New Roman" w:hAnsi="Times New Roman" w:cs="Times New Roman"/>
          <w:sz w:val="24"/>
          <w:szCs w:val="24"/>
        </w:rPr>
        <w:t xml:space="preserve">етствии с ФГОС ДО в сентябре  2023</w:t>
      </w:r>
      <w:r>
        <w:rPr>
          <w:rFonts w:ascii="Times New Roman" w:hAnsi="Times New Roman" w:cs="Times New Roman"/>
          <w:sz w:val="24"/>
          <w:szCs w:val="24"/>
        </w:rPr>
        <w:t xml:space="preserve"> года педагогами ДОУ проводилась оценка индивидуального развития детей в рамках педагогической диагностики. Содержание диагностики связано с ООП </w:t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ДЦР «Немо»</w:t>
      </w:r>
      <w:r/>
      <w:r>
        <w:rPr>
          <w:rFonts w:ascii="Times New Roman" w:hAnsi="Times New Roman" w:cs="Times New Roman"/>
          <w:sz w:val="24"/>
          <w:szCs w:val="24"/>
        </w:rPr>
        <w:t xml:space="preserve"> Периодичность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педагогической </w:t>
      </w:r>
      <w:r>
        <w:rPr>
          <w:rFonts w:ascii="Times New Roman" w:hAnsi="Times New Roman" w:cs="Times New Roman"/>
          <w:sz w:val="24"/>
          <w:szCs w:val="24"/>
        </w:rPr>
        <w:t xml:space="preserve"> диагностики в </w:t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ДЦР «Немо»</w:t>
      </w:r>
      <w:r/>
      <w:r>
        <w:rPr>
          <w:rFonts w:ascii="Times New Roman" w:hAnsi="Times New Roman" w:cs="Times New Roman"/>
          <w:sz w:val="24"/>
          <w:szCs w:val="24"/>
        </w:rPr>
        <w:t xml:space="preserve"> - два раза в год: в начале и в конце учебного года.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заносятся в  диагностические карты освоения ООП ДО  в 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Используемые методы: наблюдение, анализ прод</w:t>
      </w:r>
      <w:r>
        <w:rPr>
          <w:rFonts w:ascii="Times New Roman" w:hAnsi="Times New Roman" w:cs="Times New Roman"/>
          <w:sz w:val="24"/>
          <w:szCs w:val="24"/>
        </w:rPr>
        <w:t xml:space="preserve">уктов детской деятельности и игровой деятельности не приводят к переутомлению воспитанников и не нарушают ход образовательного процесса. Обследование прошли дети 4 возрастных групп. Всего обследовано 87 воспитанников. Были получены следующие результаты.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педагогической диагностики (мониторинг развит</w:t>
      </w:r>
      <w:r>
        <w:rPr>
          <w:rFonts w:ascii="Times New Roman" w:hAnsi="Times New Roman" w:cs="Times New Roman"/>
          <w:b/>
          <w:sz w:val="24"/>
          <w:szCs w:val="24"/>
        </w:rPr>
        <w:t xml:space="preserve">ия воспитанников) по итогам 2022-2023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года.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671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диагностики готовности воспита</w:t>
      </w:r>
      <w:r>
        <w:rPr>
          <w:rFonts w:ascii="Times New Roman" w:hAnsi="Times New Roman" w:cs="Times New Roman"/>
          <w:b/>
          <w:sz w:val="24"/>
          <w:szCs w:val="24"/>
        </w:rPr>
        <w:t xml:space="preserve">нников к обучению в школе в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Диагностику проводили с целью обследования воспитанников подготовительных групп на готовность к обучению в школе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71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Анализируя полученные данные мониторинга воспитанников, можно сделать вывод о поло</w:t>
      </w:r>
      <w:r>
        <w:rPr>
          <w:rFonts w:ascii="Times New Roman" w:hAnsi="Times New Roman" w:cs="Times New Roman"/>
          <w:sz w:val="24"/>
          <w:szCs w:val="24"/>
        </w:rPr>
        <w:t xml:space="preserve">жительном результате. У воспитанников сформирована школьная мотивации, уровень их физиологической зрелости в норме. Из всех воспитанников 6-7 лет на конец учебного года  100 % имеют стабильно положительный показатель (высокий и средний уровень развития).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79 % воспитанников отмечаются высокие показатели сформированности мелкой моторики, рук, восприятия, наглядно-образного и словесно-логического мышления, произвольности поведения, адекватная самооценка и умение общаться со взрослыми и </w:t>
      </w:r>
      <w:r>
        <w:rPr>
          <w:rFonts w:ascii="Times New Roman" w:hAnsi="Times New Roman" w:cs="Times New Roman"/>
          <w:sz w:val="24"/>
          <w:szCs w:val="24"/>
        </w:rPr>
        <w:t xml:space="preserve">сверстниками.  Знания воспитанников достаточные, они способны применять их в игровой и повседневной деятельности. Это свидетельствует об эффективности совместной образовательной деятельности воспитателей подготовительных к школе групп и педагога-психолога.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Платные образовательные услуги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6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Платными образовательными услугами воспользовались  67</w:t>
      </w:r>
      <w:r>
        <w:rPr>
          <w:rFonts w:ascii="Times New Roman" w:hAnsi="Times New Roman" w:cs="Times New Roman"/>
          <w:sz w:val="24"/>
          <w:szCs w:val="24"/>
        </w:rPr>
        <w:t xml:space="preserve">  воспитанника, </w:t>
      </w:r>
      <w:r>
        <w:rPr>
          <w:rFonts w:ascii="Times New Roman" w:hAnsi="Times New Roman" w:cs="Times New Roman"/>
          <w:sz w:val="24"/>
          <w:szCs w:val="24"/>
        </w:rPr>
        <w:t xml:space="preserve">что составляет 77 % от общей численности воспитанников.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ДЦР «Немо»</w:t>
      </w:r>
      <w:r/>
      <w:r>
        <w:rPr>
          <w:rFonts w:ascii="Times New Roman" w:hAnsi="Times New Roman" w:cs="Times New Roman"/>
          <w:sz w:val="24"/>
          <w:szCs w:val="24"/>
        </w:rPr>
        <w:t xml:space="preserve">» оказывает дополнительные платные образовательные услуги детям по следующим направлениям: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ХУДОЖЕСТВЕННО-ЭСТЕТИЧЕСКОЕ: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Кружок на развитие мелкой моторики рук «Волшебные пальчики»  для детей  3-5 лет  -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27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Кружок по изобразительной деятельности «Разноцветные лучики»  для детей  4-7 лет -  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8 детей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ПОЗНАВАТЕЛЬНОЕ: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«Занимательная  грамматика» для     детей 5-7 лет - 27</w:t>
      </w:r>
      <w:r>
        <w:rPr>
          <w:rFonts w:ascii="Times New Roman" w:hAnsi="Times New Roman" w:cs="Times New Roman"/>
          <w:sz w:val="24"/>
          <w:szCs w:val="24"/>
        </w:rPr>
        <w:t xml:space="preserve"> детей.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«Маленький шахматист»  для     детей 5-7 лет – 55 </w:t>
      </w:r>
      <w:r>
        <w:rPr>
          <w:rFonts w:ascii="Times New Roman" w:hAnsi="Times New Roman" w:cs="Times New Roman"/>
          <w:sz w:val="24"/>
          <w:szCs w:val="24"/>
        </w:rPr>
        <w:t xml:space="preserve"> детей.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«От звука-к слову» индивидуальные занятия с учителем-логопедом для детей с 3 лет.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ДЦР «Немо»</w:t>
      </w:r>
      <w:r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проводится коррекционно-развивающая работа </w:t>
      </w:r>
      <w:r>
        <w:rPr>
          <w:rFonts w:ascii="Times New Roman" w:hAnsi="Times New Roman" w:cs="Times New Roman"/>
          <w:sz w:val="24"/>
          <w:szCs w:val="24"/>
        </w:rPr>
        <w:t xml:space="preserve">учителем-логопедом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педагогом –психологом.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качества кадрового обеспечения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ДЦР «Немо»</w:t>
      </w:r>
      <w:r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укомплектовано педагогическими работниками с</w:t>
      </w:r>
      <w:r>
        <w:rPr>
          <w:rFonts w:ascii="Times New Roman" w:hAnsi="Times New Roman" w:cs="Times New Roman"/>
          <w:sz w:val="24"/>
          <w:szCs w:val="24"/>
        </w:rPr>
        <w:t xml:space="preserve">огласно штатному расписанию на 10</w:t>
      </w:r>
      <w:r>
        <w:rPr>
          <w:rFonts w:ascii="Times New Roman" w:hAnsi="Times New Roman" w:cs="Times New Roman"/>
          <w:sz w:val="24"/>
          <w:szCs w:val="24"/>
        </w:rPr>
        <w:t xml:space="preserve">0%. Образовательный уровень педагогов представлен </w:t>
      </w:r>
      <w:r>
        <w:rPr>
          <w:rFonts w:ascii="Times New Roman" w:hAnsi="Times New Roman" w:cs="Times New Roman"/>
          <w:sz w:val="24"/>
          <w:szCs w:val="24"/>
        </w:rPr>
        <w:t xml:space="preserve">следующими показателями: в  2023</w:t>
      </w:r>
      <w:r>
        <w:rPr>
          <w:rFonts w:ascii="Times New Roman" w:hAnsi="Times New Roman" w:cs="Times New Roman"/>
          <w:sz w:val="24"/>
          <w:szCs w:val="24"/>
        </w:rPr>
        <w:t xml:space="preserve"> году педагог</w:t>
      </w:r>
      <w:r>
        <w:rPr>
          <w:rFonts w:ascii="Times New Roman" w:hAnsi="Times New Roman" w:cs="Times New Roman"/>
          <w:sz w:val="24"/>
          <w:szCs w:val="24"/>
        </w:rPr>
        <w:t xml:space="preserve">ический коллектив состоит </w:t>
      </w:r>
      <w:r>
        <w:rPr>
          <w:rFonts w:ascii="Times New Roman" w:hAnsi="Times New Roman" w:cs="Times New Roman"/>
          <w:sz w:val="24"/>
          <w:szCs w:val="24"/>
        </w:rPr>
        <w:t xml:space="preserve"> из 12  человек, из них:  воспитателей -8; - специалистов – 5 человек (1 учитель–логопед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1 инструктор по физической культ</w:t>
      </w:r>
      <w:r>
        <w:rPr>
          <w:rFonts w:ascii="Times New Roman" w:hAnsi="Times New Roman" w:cs="Times New Roman"/>
          <w:sz w:val="24"/>
          <w:szCs w:val="24"/>
        </w:rPr>
        <w:t xml:space="preserve">уре, 1педагог по шахматам</w:t>
      </w:r>
      <w:r>
        <w:rPr>
          <w:rFonts w:ascii="Times New Roman" w:hAnsi="Times New Roman" w:cs="Times New Roman"/>
          <w:sz w:val="24"/>
          <w:szCs w:val="24"/>
        </w:rPr>
        <w:t xml:space="preserve">;1 педагог по изо).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Стаж работы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671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 до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 до 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Свыше 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Количество/%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12/100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6/12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2/18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Уровень квалификации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671"/>
        <w:tblW w:w="0" w:type="auto"/>
        <w:tblLook w:val="04A0" w:firstRow="1" w:lastRow="0" w:firstColumn="1" w:lastColumn="0" w:noHBand="0" w:noVBand="1"/>
      </w:tblPr>
      <w:tblGrid>
        <w:gridCol w:w="1889"/>
        <w:gridCol w:w="1801"/>
        <w:gridCol w:w="2159"/>
        <w:gridCol w:w="1880"/>
        <w:gridCol w:w="1842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педагогов 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квалификационная категория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Количество/%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12/100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0/0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7/58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Уровень образования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</w:r>
    </w:p>
    <w:tbl>
      <w:tblPr>
        <w:tblStyle w:val="671"/>
        <w:tblW w:w="0" w:type="auto"/>
        <w:tblLook w:val="04A0" w:firstRow="1" w:lastRow="0" w:firstColumn="1" w:lastColumn="0" w:noHBand="0" w:noVBand="1"/>
      </w:tblPr>
      <w:tblGrid>
        <w:gridCol w:w="2082"/>
        <w:gridCol w:w="1867"/>
        <w:gridCol w:w="1855"/>
        <w:gridCol w:w="1880"/>
        <w:gridCol w:w="188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52" w:type="dxa"/>
            <w:textDirection w:val="lrTb"/>
            <w:noWrap w:val="false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78"/>
              <w:gridCol w:w="222"/>
              <w:gridCol w:w="222"/>
              <w:gridCol w:w="222"/>
              <w:gridCol w:w="222"/>
            </w:tblGrid>
            <w:tr>
              <w:tblPrEx/>
              <w:trPr>
                <w:trHeight w:val="247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0" w:type="auto"/>
                  <w:textDirection w:val="lrTb"/>
                  <w:noWrap w:val="false"/>
                </w:tcPr>
                <w:p>
                  <w:pPr>
                    <w:pStyle w:val="670"/>
                    <w:jc w:val="both"/>
                    <w:spacing w:line="276" w:lineRule="auto"/>
                  </w:pPr>
                  <w:r>
                    <w:t xml:space="preserve">Всего педаго-гов 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36" w:type="dxa"/>
                  <w:textDirection w:val="lrTb"/>
                  <w:noWrap w:val="false"/>
                </w:tcPr>
                <w:p>
                  <w:pPr>
                    <w:pStyle w:val="670"/>
                    <w:jc w:val="both"/>
                    <w:spacing w:line="276" w:lineRule="auto"/>
                  </w:pPr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94" w:type="dxa"/>
                  <w:textDirection w:val="lrTb"/>
                  <w:noWrap w:val="false"/>
                </w:tcPr>
                <w:p>
                  <w:pPr>
                    <w:pStyle w:val="670"/>
                    <w:jc w:val="both"/>
                    <w:spacing w:line="276" w:lineRule="auto"/>
                  </w:pPr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0" w:type="auto"/>
                  <w:textDirection w:val="lrTb"/>
                  <w:noWrap w:val="false"/>
                </w:tcPr>
                <w:p>
                  <w:pPr>
                    <w:pStyle w:val="670"/>
                    <w:jc w:val="both"/>
                    <w:spacing w:line="276" w:lineRule="auto"/>
                  </w:pPr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0" w:type="auto"/>
                  <w:textDirection w:val="lrTb"/>
                  <w:noWrap w:val="false"/>
                </w:tcPr>
                <w:p>
                  <w:pPr>
                    <w:pStyle w:val="670"/>
                    <w:jc w:val="both"/>
                    <w:spacing w:line="276" w:lineRule="auto"/>
                  </w:pPr>
                  <w:r/>
                  <w:r/>
                </w:p>
              </w:tc>
            </w:tr>
          </w:tbl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 - профес-сиональное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52" w:type="dxa"/>
            <w:textDirection w:val="lrTb"/>
            <w:noWrap w:val="false"/>
          </w:tcPr>
          <w:p>
            <w:pPr>
              <w:pStyle w:val="670"/>
              <w:jc w:val="both"/>
            </w:pPr>
            <w:r>
              <w:t xml:space="preserve">Количество/%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12/100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10/83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2/517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0/0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70"/>
        <w:jc w:val="both"/>
      </w:pPr>
      <w:r/>
      <w:r/>
    </w:p>
    <w:p>
      <w:pPr>
        <w:pStyle w:val="670"/>
        <w:jc w:val="both"/>
      </w:pPr>
      <w:r>
        <w:t xml:space="preserve">Вывод: Большинство педагогов в </w:t>
      </w: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ДЦР «Немо</w:t>
      </w:r>
      <w:r>
        <w:t xml:space="preserve"> имеют стаж работы более 2 лет, они имеют опыт педагогической деятельности. В своей деятель</w:t>
      </w:r>
      <w:r>
        <w:t xml:space="preserve">ности педагоги используют наряду с традиционными методами работы с воспитанниками и инновационные образовательные технологии и методики, которые способствуют формированию у детей ключевых компетенций, что способствует их успешности в современном обществе. </w:t>
      </w:r>
      <w:r/>
    </w:p>
    <w:p>
      <w:pPr>
        <w:pStyle w:val="670"/>
        <w:ind w:firstLine="708"/>
        <w:jc w:val="both"/>
      </w:pPr>
      <w:r>
        <w:t xml:space="preserve">В процессе образовательной деятельности происходит с</w:t>
      </w:r>
      <w:r>
        <w:t xml:space="preserve">истематический, регулярный обмен опытом педагогов. Воспитатели и специалисты </w:t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ДЦР «Немо»</w:t>
      </w:r>
      <w:r/>
      <w:r>
        <w:t xml:space="preserve">принимают участие в проводимых в ДОУ семинарах, мастер-классах, </w:t>
      </w:r>
      <w:r/>
    </w:p>
    <w:p>
      <w:pPr>
        <w:pStyle w:val="670"/>
        <w:ind w:firstLine="708"/>
        <w:jc w:val="both"/>
      </w:pPr>
      <w:r>
        <w:t xml:space="preserve">Каждый педагог </w:t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ДЦР «Немо»</w:t>
      </w:r>
      <w:r/>
      <w:r>
        <w:t xml:space="preserve"> в течение года работает по определенной теме по само-образованию, с учетом индивидуального опыта и профессионального мастерства. 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Оценка материально-технической базы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69"/>
        <w:ind w:firstLine="708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находится на первом этаже многоэтажного дома иимеет площадь в 335 кв.м</w:t>
      </w:r>
      <w:r>
        <w:rPr>
          <w:rFonts w:ascii="Times New Roman" w:hAnsi="Times New Roman" w:cs="Times New Roman"/>
          <w:sz w:val="24"/>
          <w:szCs w:val="24"/>
        </w:rPr>
        <w:t xml:space="preserve">. Здание оборудовано системами холодного и горячего водоснабжения, канализацией. Отопление и вентиляция здания образовательного учреждения оборудованы в соответствии с санитарно-эпидемиологическими правилами и нормативами.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ind w:firstLine="708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Материально-технические условия, созданные в учреждении, соответствуют требованиям безопасности. В ДОУ имеется система видеонаблюдения.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ind w:firstLine="708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Помещение  детского сада оборудовано современной пожарно-охранной сигнализацией и тревожной кнопко</w:t>
      </w:r>
      <w:r>
        <w:rPr>
          <w:rFonts w:ascii="Times New Roman" w:hAnsi="Times New Roman" w:cs="Times New Roman"/>
          <w:sz w:val="24"/>
          <w:szCs w:val="24"/>
        </w:rPr>
        <w:t xml:space="preserve">й, что позволяет оперативно вызвать наряд 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Территория по всему периметру ограждена забором.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jc w:val="both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Структурными компонентами</w:t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ДЦР «Немо»</w:t>
      </w:r>
      <w:r/>
      <w:r>
        <w:rPr>
          <w:rFonts w:ascii="Times New Roman" w:hAnsi="Times New Roman" w:cs="Times New Roman"/>
          <w:sz w:val="24"/>
          <w:szCs w:val="24"/>
          <w:u w:val="single"/>
        </w:rPr>
        <w:t xml:space="preserve">  являются: 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66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Групповые помещения –4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Музыкально- спортивный  зал -1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Кабинеты: кабинет заведующего - 1,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Пищеблок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Территория детского сада включает: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прогулочный  участк для детей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 спортивная площадка.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ind w:firstLine="708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игровой площадке - яркие теневые навесы, игровые и спортивные комплексы,.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ind w:firstLine="708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Предметно-пространственная среда в </w:t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ДЦР «Немо»</w:t>
      </w:r>
      <w:r/>
      <w:r>
        <w:rPr>
          <w:rFonts w:ascii="Times New Roman" w:hAnsi="Times New Roman" w:cs="Times New Roman"/>
          <w:sz w:val="24"/>
          <w:szCs w:val="24"/>
        </w:rPr>
        <w:t xml:space="preserve">  интенсивно </w:t>
      </w:r>
      <w:r>
        <w:rPr>
          <w:rFonts w:ascii="Times New Roman" w:hAnsi="Times New Roman" w:cs="Times New Roman"/>
          <w:sz w:val="24"/>
          <w:szCs w:val="24"/>
        </w:rPr>
        <w:t xml:space="preserve">развивающая, провоцирующая возникновение и развитие познавательных интересов ребёнка, его волевых качеств, эмоций, чувств. В интерьере выделяются определенные многофункциональные легко трансформируемые элементы при сохранении общей, смысловой целостности.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69"/>
        <w:ind w:firstLine="708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Планировка помещений такова, что каждый ребёнок может найти место, удобное для занятий и комфортное для его эмоционального состояния. Прави</w:t>
      </w:r>
      <w:r>
        <w:rPr>
          <w:rFonts w:ascii="Times New Roman" w:hAnsi="Times New Roman" w:cs="Times New Roman"/>
          <w:sz w:val="24"/>
          <w:szCs w:val="24"/>
        </w:rPr>
        <w:t xml:space="preserve">льно подобранная и расставленная мебель, рационально использованное пространство групповых комнат позволяют сэкономить место, создать уют и привнести "изюминку" в интерьер каждого помещения, а так же позволяет каждому малышу найти занятие по душе, поверить</w:t>
      </w:r>
      <w:r>
        <w:rPr>
          <w:rFonts w:ascii="Times New Roman" w:hAnsi="Times New Roman" w:cs="Times New Roman"/>
          <w:sz w:val="24"/>
          <w:szCs w:val="24"/>
        </w:rPr>
        <w:t xml:space="preserve"> в свои силы и способности, научиться взаимодействовать с педагогами и со сверстниками, понимать и оценивать их чувства и поступки. На всех возрастных этапах среда в ДОО трансформируется, усложняется, изменяется в соответствии с программными требованиями.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69"/>
        <w:ind w:firstLine="708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создании предметно-развивающей среды мы руководствуемся следующими принципами: комфортности и эмоционального благополучия каждого ребёнка; целесообразной достаточности позв</w:t>
      </w:r>
      <w:r>
        <w:rPr>
          <w:rFonts w:ascii="Times New Roman" w:hAnsi="Times New Roman" w:cs="Times New Roman"/>
          <w:sz w:val="24"/>
          <w:szCs w:val="24"/>
        </w:rPr>
        <w:t xml:space="preserve">оляет предусмотреть необходимость и достаточность наполнения предметно-развивающей среды, а также обеспечить возможность самовыражения воспитанников; доступности; вариативности; превентивности, личной ориентированности; баланса инициатив детей и взрослых.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ind w:firstLine="708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202</w:t>
      </w:r>
      <w:r>
        <w:rPr>
          <w:rFonts w:ascii="Times New Roman" w:hAnsi="Times New Roman" w:cs="Times New Roman"/>
          <w:sz w:val="24"/>
          <w:szCs w:val="24"/>
        </w:rPr>
        <w:t xml:space="preserve">2 году была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продолженна </w:t>
      </w:r>
      <w:r>
        <w:rPr>
          <w:rFonts w:ascii="Times New Roman" w:hAnsi="Times New Roman" w:cs="Times New Roman"/>
          <w:sz w:val="24"/>
          <w:szCs w:val="24"/>
        </w:rPr>
        <w:t xml:space="preserve"> работа по организации развивающего образовательного пространства, приобретено современное детское игровое и спортивное оборудование, методические и дидактические пособия.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69"/>
        <w:ind w:firstLine="708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 правильно организованная развивающая предметно-прос</w:t>
      </w:r>
      <w:r>
        <w:rPr>
          <w:rFonts w:ascii="Times New Roman" w:hAnsi="Times New Roman" w:cs="Times New Roman"/>
          <w:sz w:val="24"/>
          <w:szCs w:val="24"/>
        </w:rPr>
        <w:t xml:space="preserve">транственная среда позволяет каждому ребенку найти занятие по душе, поверить в свои силы и способности, научиться взаимодействовать со взрослыми и сверстниками, понимать и оценивать их чувства и поступки, а именно это лежит в основе развивающего обучения.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69"/>
        <w:ind w:firstLine="708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ДЦР «Немо»</w:t>
      </w:r>
      <w:r/>
      <w:r>
        <w:rPr>
          <w:rFonts w:ascii="Times New Roman" w:hAnsi="Times New Roman" w:cs="Times New Roman"/>
          <w:sz w:val="24"/>
          <w:szCs w:val="24"/>
        </w:rPr>
        <w:t xml:space="preserve">  созданы условия для</w:t>
      </w:r>
      <w:r>
        <w:rPr>
          <w:rFonts w:ascii="Times New Roman" w:hAnsi="Times New Roman" w:cs="Times New Roman"/>
          <w:sz w:val="24"/>
          <w:szCs w:val="24"/>
        </w:rPr>
        <w:t xml:space="preserve"> проведения интеллектуально-развивающих занятий: дидактические пособия, детская энциклопедическая литература, карты, макеты, схемы. В каждой возрастной группе созданы центры по ознакомлению дошкольников с природой родного края, государственной символикой.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ind w:firstLine="708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в помещениях </w:t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ДЦР «Немо»</w:t>
      </w:r>
      <w:r/>
      <w:r>
        <w:rPr>
          <w:rFonts w:ascii="Times New Roman" w:hAnsi="Times New Roman" w:cs="Times New Roman"/>
          <w:sz w:val="24"/>
          <w:szCs w:val="24"/>
        </w:rPr>
        <w:t xml:space="preserve"> безопасны и комфортны, соответствуют интересам, потребностям и возможностям каждого воспитанника, обеспечивают их гармоничное отношение со сверстниками и окружающим миром.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ind w:firstLine="708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году был проведен текущий ремонт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двух</w:t>
      </w:r>
      <w:r>
        <w:rPr>
          <w:rFonts w:ascii="Times New Roman" w:hAnsi="Times New Roman" w:cs="Times New Roman"/>
          <w:sz w:val="24"/>
          <w:szCs w:val="24"/>
        </w:rPr>
        <w:t xml:space="preserve"> групп. Обновлены заборчики на прогулочных участках.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ind w:firstLine="708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Материально-</w:t>
      </w:r>
      <w:r>
        <w:rPr>
          <w:rFonts w:ascii="Times New Roman" w:hAnsi="Times New Roman" w:cs="Times New Roman"/>
          <w:sz w:val="24"/>
          <w:szCs w:val="24"/>
        </w:rPr>
        <w:t xml:space="preserve">техническое состояние </w:t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ДЦР «Немо»</w:t>
      </w:r>
      <w:r/>
      <w:r>
        <w:rPr>
          <w:rFonts w:ascii="Times New Roman" w:hAnsi="Times New Roman" w:cs="Times New Roman"/>
          <w:sz w:val="24"/>
          <w:szCs w:val="24"/>
        </w:rPr>
        <w:t xml:space="preserve">  и его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В ДОУ предметно-пространственная среда максимально способствует всестороннему развитию дошкольников.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</w:r>
    </w:p>
    <w:p>
      <w:pPr>
        <w:pStyle w:val="66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питания, обеспечение безопасности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69"/>
        <w:ind w:firstLine="708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ДЦР «Немо»</w:t>
      </w:r>
      <w:r/>
      <w:r>
        <w:rPr>
          <w:rFonts w:ascii="Times New Roman" w:hAnsi="Times New Roman" w:cs="Times New Roman"/>
          <w:sz w:val="24"/>
          <w:szCs w:val="24"/>
        </w:rPr>
        <w:t xml:space="preserve">  организовано 5-ти разовое питание, в 10.00 часов второй завтрак, на основе 10-ти дневного меню. В меню представлены разнообразные блюда, исключены их повторы. При составлении меню соблюдаются требования нормативов калорийности питания. В 202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году выполнение натуральных норм питания составило 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 %. Постоянно проводится витаминизация третьего блюда.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ind w:firstLine="708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поставке продуктов строго отслеживается наличие сертификатов качества.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ДЦР «Немо»</w:t>
      </w:r>
      <w:r/>
      <w:r>
        <w:rPr>
          <w:rFonts w:ascii="Times New Roman" w:hAnsi="Times New Roman" w:cs="Times New Roman"/>
          <w:sz w:val="24"/>
          <w:szCs w:val="24"/>
        </w:rPr>
        <w:t xml:space="preserve"> имеется вся необходимая документация по организации детского пи-тания. На пищеблоке ведется бракеражный журнал, журнал здоровья. На каждый день пишется меню-раскладка.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ind w:firstLine="708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обеспечения мер, направленных против распространения вирусными заболеваниями в течение всего 202</w:t>
      </w:r>
      <w:r>
        <w:rPr>
          <w:rFonts w:ascii="Times New Roman" w:hAnsi="Times New Roman" w:cs="Times New Roman"/>
          <w:sz w:val="24"/>
          <w:szCs w:val="24"/>
        </w:rPr>
        <w:t xml:space="preserve">2 года .были закуплены  в достаточном количестве медицинские маски, перчатки и обеззараживающие жидкости.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Дети в </w:t>
      </w:r>
      <w:r>
        <w:rPr>
          <w:rFonts w:ascii="Times New Roman" w:hAnsi="Times New Roman" w:cs="Times New Roman"/>
          <w:sz w:val="24"/>
          <w:szCs w:val="24"/>
        </w:rPr>
        <w:t xml:space="preserve">ДОУ 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Обеспечиваются строгие условия нераспространения  вирусных заболеваний.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безопасности </w:t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ДЦР «Немо»</w:t>
      </w:r>
      <w:r/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69"/>
        <w:ind w:firstLine="708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ДЦР «Немо»</w:t>
      </w:r>
      <w:r/>
      <w:r>
        <w:rPr>
          <w:rFonts w:ascii="Times New Roman" w:hAnsi="Times New Roman" w:cs="Times New Roman"/>
          <w:sz w:val="24"/>
          <w:szCs w:val="24"/>
        </w:rPr>
        <w:t xml:space="preserve">  оборудовано тревожной кнопкой, что позволяет оперативно вызвать наряд вневедомственной охраны в случае чрезвычайной ситуации, а также установлено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видеокамеры, на входн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ых</w:t>
      </w:r>
      <w:r>
        <w:rPr>
          <w:rFonts w:ascii="Times New Roman" w:hAnsi="Times New Roman" w:cs="Times New Roman"/>
          <w:sz w:val="24"/>
          <w:szCs w:val="24"/>
        </w:rPr>
        <w:t xml:space="preserve"> двер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ях</w:t>
      </w:r>
      <w:r>
        <w:rPr>
          <w:rFonts w:ascii="Times New Roman" w:hAnsi="Times New Roman" w:cs="Times New Roman"/>
          <w:sz w:val="24"/>
          <w:szCs w:val="24"/>
        </w:rPr>
        <w:t xml:space="preserve"> - магнитны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 замок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ind w:firstLine="708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условий безопасности в </w:t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ДЦР «Немо»</w:t>
      </w:r>
      <w:r/>
      <w:r>
        <w:rPr>
          <w:rFonts w:ascii="Times New Roman" w:hAnsi="Times New Roman" w:cs="Times New Roman"/>
          <w:sz w:val="24"/>
          <w:szCs w:val="24"/>
        </w:rPr>
        <w:t xml:space="preserve"> выполняется согласно локальным нормативно-правовым документам.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Имеются планы эвакуации.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ind w:firstLine="708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вновь прибывшими сотрудниками проводится вводный инструктаж, противопожарный инструктаж и инструктаж по мерам электробезопасности.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ind w:firstLine="708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ind w:firstLine="708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Территория </w:t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ДЦР «Немо»</w:t>
      </w:r>
      <w:r/>
      <w:r>
        <w:rPr>
          <w:rFonts w:ascii="Times New Roman" w:hAnsi="Times New Roman" w:cs="Times New Roman"/>
          <w:sz w:val="24"/>
          <w:szCs w:val="24"/>
        </w:rPr>
        <w:t xml:space="preserve">  по всему периметру ограждена металлическим забором. Прогулочные площадки поддерживаются в хорошем санитарном состоянии и содержании.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воспитанниками дошкольных групп регулярно проводятся беседы, занятия по ОБЖ, развлечения по соблюдению правил безопасности на дорогах.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В </w:t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ДЦР «Немо»</w:t>
      </w:r>
      <w:r/>
      <w:r>
        <w:rPr>
          <w:rFonts w:ascii="Times New Roman" w:hAnsi="Times New Roman" w:cs="Times New Roman"/>
          <w:sz w:val="24"/>
          <w:szCs w:val="24"/>
        </w:rPr>
        <w:t xml:space="preserve">  соблюдаются правила по охране труда, обеспечивается без-опасность жизнедеятельности воспитанников и сотрудников.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Социальная активность и партнерство МАДОУ № 24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повышения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качества образования и реализации годовых задач педагоги </w:t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ДЦР «Немо»</w:t>
      </w:r>
      <w:r/>
      <w:r>
        <w:rPr>
          <w:rFonts w:ascii="Times New Roman" w:hAnsi="Times New Roman" w:cs="Times New Roman"/>
          <w:color w:val="000000"/>
          <w:sz w:val="24"/>
          <w:szCs w:val="24"/>
        </w:rPr>
        <w:t xml:space="preserve">сотрудничают с окружающим социумом с целью создания условий для разностороннего развития воспитанников.  </w:t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ДЦР «Немо»</w:t>
      </w:r>
      <w:r/>
      <w:r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взаимодействует с поликлиникой, МБОУ СОШ №39, Детской городской библиотекой ,музеями.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Серьезное внимание уделено созданию системы противопожарной безопасности. </w:t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ДЦР «Немо»</w:t>
      </w:r>
      <w:r/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укомплектован огнетушителями, установлена система пожарной сигнализации, имеются стандартные информационные знаки. Пути эвакуации соответствуют нормативам.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Проведены обучение ответственных лиц по пожарно - техническому минимуму и инструктажи с целью повышения антитеррористической защищенности.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708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Порядком проведения самообследования образовательной организацией, утвержденном Приказом Министерства обра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зования и науки РФ от 14 июня 2013 г. N 462 "Об утверждении Порядка проведения самообследования образовательной организацией", с учетом изменений Порядка проведения самообследования образовательной организации, утверждённый приказом Министерства образовани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я и науки РФ от 14 декабря 2017 года № 1218, от 10.12.2013 № 1324 «Об утверждении показателей деятельности образовательной организации, подлежащей  самообследованию» было проведено  самообследование </w:t>
      </w:r>
      <w:r>
        <w:rPr>
          <w:rStyle w:val="673"/>
          <w:rFonts w:ascii="Times New Roman" w:hAnsi="Times New Roman" w:cs="Times New Roman"/>
          <w:i w:val="0"/>
          <w:sz w:val="24"/>
          <w:szCs w:val="24"/>
        </w:rPr>
      </w:r>
      <w:r>
        <w:rPr>
          <w:rStyle w:val="673"/>
          <w:rFonts w:ascii="Times New Roman" w:hAnsi="Times New Roman" w:cs="Times New Roman"/>
          <w:i w:val="0"/>
          <w:sz w:val="24"/>
          <w:szCs w:val="24"/>
          <w:lang w:val="ru-RU"/>
        </w:rPr>
        <w:t xml:space="preserve">ДЦР «Немо»</w:t>
      </w:r>
      <w:r/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 за 2023 год.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jc w:val="center"/>
        <w:spacing w:after="0" w:line="270" w:lineRule="atLeast"/>
        <w:shd w:val="clear" w:color="auto" w:fill="ffffff"/>
        <w:rPr>
          <w:rFonts w:ascii="inherit" w:hAnsi="inherit" w:eastAsia="Times New Roman" w:cs="Times New Roman"/>
          <w:b/>
          <w:bCs/>
          <w:color w:val="000000"/>
          <w:sz w:val="23"/>
          <w:szCs w:val="23"/>
          <w:lang w:eastAsia="ru-RU"/>
        </w:rPr>
        <w:outlineLvl w:val="3"/>
      </w:pPr>
      <w:r>
        <w:rPr>
          <w:rFonts w:ascii="inherit" w:hAnsi="inherit" w:eastAsia="Times New Roman" w:cs="Times New Roman"/>
          <w:b/>
          <w:bCs/>
          <w:color w:val="000000"/>
          <w:sz w:val="23"/>
          <w:szCs w:val="23"/>
          <w:lang w:eastAsia="ru-RU"/>
        </w:rPr>
      </w:r>
      <w:r>
        <w:rPr>
          <w:rFonts w:ascii="inherit" w:hAnsi="inherit" w:eastAsia="Times New Roman" w:cs="Times New Roman"/>
          <w:b/>
          <w:bCs/>
          <w:color w:val="000000"/>
          <w:sz w:val="23"/>
          <w:szCs w:val="23"/>
          <w:lang w:eastAsia="ru-RU"/>
        </w:rPr>
      </w:r>
    </w:p>
    <w:p>
      <w:pPr>
        <w:jc w:val="center"/>
        <w:spacing w:after="0" w:line="270" w:lineRule="atLeast"/>
        <w:shd w:val="clear" w:color="auto" w:fill="ffffff"/>
        <w:rPr>
          <w:rFonts w:ascii="inherit" w:hAnsi="inherit" w:eastAsia="Times New Roman" w:cs="Times New Roman"/>
          <w:b/>
          <w:bCs/>
          <w:color w:val="000000"/>
          <w:sz w:val="23"/>
          <w:szCs w:val="23"/>
          <w:lang w:eastAsia="ru-RU"/>
        </w:rPr>
        <w:outlineLvl w:val="3"/>
      </w:pPr>
      <w:r>
        <w:rPr>
          <w:rFonts w:ascii="inherit" w:hAnsi="inherit" w:eastAsia="Times New Roman" w:cs="Times New Roman"/>
          <w:b/>
          <w:bCs/>
          <w:color w:val="000000"/>
          <w:sz w:val="23"/>
          <w:szCs w:val="23"/>
          <w:lang w:eastAsia="ru-RU"/>
        </w:rPr>
        <w:t xml:space="preserve">РЕЗУЛЬТАТЫ АНАЛИЗА ПОКАЗАТЕЛЕЙ  САМООБСЛЕДОВАНИЯ </w:t>
      </w:r>
      <w:r>
        <w:rPr>
          <w:rFonts w:ascii="Trebuchet MS" w:hAnsi="Trebuchet MS" w:eastAsia="Times New Roman" w:cs="Times New Roman"/>
          <w:b/>
          <w:bCs/>
          <w:color w:val="000000"/>
          <w:sz w:val="23"/>
          <w:szCs w:val="23"/>
          <w:lang w:eastAsia="ru-RU"/>
        </w:rPr>
        <w:br/>
      </w:r>
      <w:r>
        <w:rPr>
          <w:rStyle w:val="673"/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 xml:space="preserve">Д</w:t>
      </w:r>
      <w:r>
        <w:rPr>
          <w:rStyle w:val="673"/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 xml:space="preserve">ЦР «Немо»</w:t>
      </w:r>
      <w:r>
        <w:rPr>
          <w:rFonts w:ascii="inherit" w:hAnsi="inherit" w:eastAsia="Times New Roman" w:cs="Times New Roman"/>
          <w:b/>
          <w:bCs/>
          <w:color w:val="000000"/>
          <w:sz w:val="23"/>
          <w:szCs w:val="23"/>
          <w:lang w:eastAsia="ru-RU"/>
        </w:rPr>
        <w:t xml:space="preserve">   2023</w:t>
      </w:r>
      <w:r>
        <w:rPr>
          <w:rFonts w:ascii="inherit" w:hAnsi="inherit" w:eastAsia="Times New Roman" w:cs="Times New Roman"/>
          <w:b/>
          <w:bCs/>
          <w:color w:val="000000"/>
          <w:sz w:val="23"/>
          <w:szCs w:val="23"/>
          <w:lang w:eastAsia="ru-RU"/>
        </w:rPr>
        <w:t xml:space="preserve">  ГОД </w:t>
      </w:r>
      <w:r>
        <w:rPr>
          <w:rFonts w:ascii="inherit" w:hAnsi="inherit" w:eastAsia="Times New Roman" w:cs="Times New Roman"/>
          <w:b/>
          <w:bCs/>
          <w:color w:val="000000"/>
          <w:sz w:val="23"/>
          <w:szCs w:val="23"/>
          <w:lang w:eastAsia="ru-RU"/>
        </w:rPr>
      </w:r>
      <w:r>
        <w:rPr>
          <w:rFonts w:ascii="inherit" w:hAnsi="inherit" w:eastAsia="Times New Roman" w:cs="Times New Roman"/>
          <w:b/>
          <w:bCs/>
          <w:color w:val="000000"/>
          <w:sz w:val="23"/>
          <w:szCs w:val="23"/>
          <w:lang w:eastAsia="ru-RU"/>
        </w:rPr>
      </w:r>
    </w:p>
    <w:p>
      <w:pPr>
        <w:spacing w:after="0" w:line="270" w:lineRule="atLeast"/>
        <w:shd w:val="clear" w:color="auto" w:fill="ffffff"/>
        <w:rPr>
          <w:rFonts w:ascii="Trebuchet MS" w:hAnsi="Trebuchet MS" w:eastAsia="Times New Roman" w:cs="Times New Roman"/>
          <w:b/>
          <w:bCs/>
          <w:color w:val="000000"/>
          <w:sz w:val="23"/>
          <w:szCs w:val="23"/>
          <w:lang w:eastAsia="ru-RU"/>
        </w:rPr>
        <w:outlineLvl w:val="3"/>
      </w:pPr>
      <w:r>
        <w:rPr>
          <w:rFonts w:ascii="Trebuchet MS" w:hAnsi="Trebuchet MS" w:eastAsia="Times New Roman" w:cs="Times New Roman"/>
          <w:b/>
          <w:bCs/>
          <w:color w:val="000000"/>
          <w:sz w:val="23"/>
          <w:szCs w:val="23"/>
          <w:lang w:eastAsia="ru-RU"/>
        </w:rPr>
      </w:r>
      <w:r>
        <w:rPr>
          <w:rFonts w:ascii="Trebuchet MS" w:hAnsi="Trebuchet MS" w:eastAsia="Times New Roman" w:cs="Times New Roman"/>
          <w:b/>
          <w:bCs/>
          <w:color w:val="000000"/>
          <w:sz w:val="23"/>
          <w:szCs w:val="23"/>
          <w:lang w:eastAsia="ru-RU"/>
        </w:rPr>
      </w:r>
    </w:p>
    <w:tbl>
      <w:tblPr>
        <w:tblW w:w="9891" w:type="dxa"/>
        <w:tblInd w:w="-306" w:type="dxa"/>
        <w:tblBorders>
          <w:top w:val="single" w:color="888888" w:sz="6" w:space="0"/>
          <w:left w:val="single" w:color="888888" w:sz="6" w:space="0"/>
          <w:bottom w:val="single" w:color="888888" w:sz="6" w:space="0"/>
          <w:right w:val="single" w:color="888888" w:sz="6" w:space="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6859"/>
        <w:gridCol w:w="1911"/>
      </w:tblGrid>
      <w:tr>
        <w:tblPrEx/>
        <w:trPr/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1121" w:type="dxa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Показатели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Единица измерения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1121" w:type="dxa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center"/>
              <w:spacing w:before="75" w:after="75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Образовательная деятельность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1121" w:type="dxa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Общая численность воспитанников, осваивающих образовательную программу дошкольного образования, в том числе: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center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  <w:p>
            <w:pPr>
              <w:ind w:firstLine="300"/>
              <w:jc w:val="center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87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3"/>
                <w:szCs w:val="23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1121" w:type="dxa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1.1.1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В режиме полного дня (8 - 11 часов)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center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  <w:p>
            <w:pPr>
              <w:ind w:firstLine="300"/>
              <w:jc w:val="center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87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3"/>
                <w:szCs w:val="23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1121" w:type="dxa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1.1.2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В режиме кратковременного пребывания (3 - 5 часов)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center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  <w:p>
            <w:pPr>
              <w:ind w:firstLine="300"/>
              <w:jc w:val="center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1121" w:type="dxa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1.1.3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В семейной дошкольной группе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center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  <w:p>
            <w:pPr>
              <w:ind w:firstLine="300"/>
              <w:jc w:val="center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1121" w:type="dxa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1.2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Общая численность воспитанников в возрасте до 3 лет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человек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3"/>
                <w:szCs w:val="23"/>
                <w:lang w:eastAsia="ru-RU"/>
              </w:rPr>
            </w:r>
          </w:p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ff0000"/>
                <w:sz w:val="23"/>
                <w:szCs w:val="23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1121" w:type="dxa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1.3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Общая численность воспитанников в возрасте от 3 до 8 лет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3"/>
                <w:szCs w:val="23"/>
                <w:lang w:eastAsia="ru-RU"/>
              </w:rPr>
            </w:r>
          </w:p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71</w:t>
            </w:r>
            <w:r>
              <w:rPr>
                <w:rFonts w:ascii="Times New Roman" w:hAnsi="Times New Roman" w:eastAsia="Times New Roman" w:cs="Times New Roman"/>
                <w:color w:val="ff0000"/>
                <w:sz w:val="23"/>
                <w:szCs w:val="23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1121" w:type="dxa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1.4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человек/%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3"/>
                <w:szCs w:val="23"/>
                <w:lang w:eastAsia="ru-RU"/>
              </w:rPr>
            </w:r>
          </w:p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87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/100</w:t>
            </w:r>
            <w:r>
              <w:rPr>
                <w:rFonts w:ascii="Times New Roman" w:hAnsi="Times New Roman" w:eastAsia="Times New Roman" w:cs="Times New Roman"/>
                <w:color w:val="ff0000"/>
                <w:sz w:val="23"/>
                <w:szCs w:val="23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1121" w:type="dxa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1.4.1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В режиме полного дня (8 - 12 часов)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человек/%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87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 / 100%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1121" w:type="dxa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1.4.2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В режиме продленного дня (12 - 14 часов)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человек/%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0 / 0%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1121" w:type="dxa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1.4.3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В режиме круглосуточного пребывания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человек/%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0 / 0%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1121" w:type="dxa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1.5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человек/%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0/ 0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1121" w:type="dxa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1.5.1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По коррекции недостатков в физическом и (или) психическом развитии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человек/%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0/ 0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1121" w:type="dxa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1.5.2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По освоению образовательной программы дошкольного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человек/%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0 /0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1121" w:type="dxa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1.5.3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По присмотру и уходу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человек/%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0 /0%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1121" w:type="dxa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1.6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день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1121" w:type="dxa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1.7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Общая численность педагогических работников, в том числе: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1121" w:type="dxa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1.7.1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человек/%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8/55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1121" w:type="dxa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1.7.2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человек/%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9/55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1121" w:type="dxa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1.7.3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человек/%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1 /45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1121" w:type="dxa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1.7.4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человек/%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2 /45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1121" w:type="dxa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1.8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человек/%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0 /0%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1121" w:type="dxa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1.8.1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Высшая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человек/%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0/0 %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1121" w:type="dxa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1.8.2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Первая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человек/%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0 / 0%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1121" w:type="dxa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1.11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человек/%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0/0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1121" w:type="dxa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1.12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человек/%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1 /99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1121" w:type="dxa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1.14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Соотношение "педагогический работник/воспитанник" в дошкольной образовательной организации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человек/человек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12/87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1121" w:type="dxa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1.15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Наличие в образовательной организации следующих педагогических работников: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1121" w:type="dxa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1.15.1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Музыкального руководителя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1121" w:type="dxa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1.15.2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Инструктора по физической культуре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1121" w:type="dxa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1.15.3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Учителя-логопеда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1121" w:type="dxa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1.15.4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Логопеда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 -ла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1121" w:type="dxa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1.15.5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Учителя-дефектолога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1121" w:type="dxa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1.15.6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Педагога-психолога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1121" w:type="dxa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Инфраструктура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1121" w:type="dxa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воспитанника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238 кв. м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1121" w:type="dxa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2.2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Площадь помещений для организации дополнительных видов деятельности воспитанников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159,4 кв. м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1121" w:type="dxa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2.3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Наличие физкультурного зала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   -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1121" w:type="dxa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2.4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Наличие музыкального зала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1121" w:type="dxa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2.5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left w:w="120" w:type="dxa"/>
              <w:top w:w="45" w:type="dxa"/>
              <w:right w:w="120" w:type="dxa"/>
              <w:bottom w:w="45" w:type="dxa"/>
            </w:tcMar>
            <w:tcW w:w="0" w:type="auto"/>
            <w:textDirection w:val="lrTb"/>
            <w:noWrap w:val="false"/>
          </w:tcPr>
          <w:p>
            <w:pPr>
              <w:ind w:firstLine="300"/>
              <w:jc w:val="both"/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</w:tr>
    </w:tbl>
    <w:p>
      <w:pPr>
        <w:ind w:firstLine="300"/>
        <w:jc w:val="both"/>
        <w:spacing w:before="75" w:after="75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</w:r>
    </w:p>
    <w:p>
      <w:r/>
      <w:r/>
    </w:p>
    <w:p>
      <w:r/>
      <w:r/>
    </w:p>
    <w:p>
      <w:pPr>
        <w:rPr>
          <w:b/>
          <w:bCs/>
          <w:sz w:val="23"/>
          <w:szCs w:val="23"/>
          <w:lang w:val="uk-UA"/>
        </w:rPr>
      </w:pPr>
      <w:r>
        <w:rPr>
          <w:b/>
          <w:bCs/>
          <w:sz w:val="23"/>
          <w:szCs w:val="23"/>
          <w:lang w:val="uk-UA"/>
        </w:rPr>
      </w:r>
      <w:r>
        <w:rPr>
          <w:b/>
          <w:bCs/>
          <w:sz w:val="23"/>
          <w:szCs w:val="23"/>
          <w:lang w:val="uk-UA"/>
        </w:rPr>
      </w:r>
    </w:p>
    <w:p>
      <w:pPr>
        <w:pStyle w:val="670"/>
        <w:pageBreakBefore/>
      </w:pPr>
      <w:r/>
      <w:r/>
    </w:p>
    <w:p>
      <w:pPr>
        <w:rPr>
          <w:vanish/>
        </w:rPr>
      </w:pPr>
      <w:r>
        <w:rPr>
          <w:vanish/>
        </w:rPr>
      </w:r>
      <w:r>
        <w:rPr>
          <w:vanish/>
        </w:rPr>
      </w:r>
    </w:p>
    <w:p>
      <w:r>
        <w:t xml:space="preserve"> </w:t>
      </w:r>
      <w:r/>
    </w:p>
    <w:p>
      <w:r/>
      <w:r/>
    </w:p>
    <w:p>
      <w:pPr>
        <w:spacing w:after="100" w:afterAutospacing="1" w:line="199" w:lineRule="auto"/>
        <w:rPr>
          <w:rFonts w:eastAsia="Times New Roman"/>
          <w:sz w:val="20"/>
          <w:szCs w:val="24"/>
        </w:rPr>
        <w:outlineLvl w:val="7"/>
      </w:pPr>
      <w:r>
        <w:rPr>
          <w:rFonts w:eastAsia="Times New Roman"/>
          <w:sz w:val="20"/>
          <w:szCs w:val="24"/>
        </w:rPr>
      </w:r>
      <w:r>
        <w:rPr>
          <w:rFonts w:eastAsia="Times New Roman"/>
          <w:sz w:val="20"/>
          <w:szCs w:val="24"/>
        </w:rPr>
      </w:r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4020202020204"/>
  </w:font>
  <w:font w:name="Calibri">
    <w:panose1 w:val="020F0502020204030204"/>
  </w:font>
  <w:font w:name="Times New Roman">
    <w:panose1 w:val="02020603050405020304"/>
  </w:font>
  <w:font w:name="inherit"/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7"/>
    </w:pPr>
    <w:r>
      <w:t xml:space="preserve">Документ подписан электронной подписью.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3"/>
    <w:next w:val="66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3"/>
    <w:next w:val="66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3"/>
    <w:next w:val="66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3"/>
    <w:next w:val="66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3"/>
    <w:next w:val="66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3"/>
    <w:next w:val="66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3"/>
    <w:next w:val="66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3"/>
    <w:next w:val="66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3"/>
    <w:next w:val="66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3"/>
    <w:uiPriority w:val="34"/>
    <w:qFormat/>
    <w:pPr>
      <w:contextualSpacing/>
      <w:ind w:left="720"/>
    </w:pPr>
  </w:style>
  <w:style w:type="paragraph" w:styleId="34">
    <w:name w:val="Title"/>
    <w:basedOn w:val="663"/>
    <w:next w:val="66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4"/>
    <w:link w:val="34"/>
    <w:uiPriority w:val="10"/>
    <w:rPr>
      <w:sz w:val="48"/>
      <w:szCs w:val="48"/>
    </w:rPr>
  </w:style>
  <w:style w:type="paragraph" w:styleId="36">
    <w:name w:val="Subtitle"/>
    <w:basedOn w:val="663"/>
    <w:next w:val="66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4"/>
    <w:link w:val="36"/>
    <w:uiPriority w:val="11"/>
    <w:rPr>
      <w:sz w:val="24"/>
      <w:szCs w:val="24"/>
    </w:rPr>
  </w:style>
  <w:style w:type="paragraph" w:styleId="38">
    <w:name w:val="Quote"/>
    <w:basedOn w:val="663"/>
    <w:next w:val="66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3"/>
    <w:next w:val="66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4"/>
    <w:link w:val="677"/>
    <w:uiPriority w:val="99"/>
  </w:style>
  <w:style w:type="character" w:styleId="45">
    <w:name w:val="Footer Char"/>
    <w:basedOn w:val="664"/>
    <w:link w:val="679"/>
    <w:uiPriority w:val="99"/>
  </w:style>
  <w:style w:type="paragraph" w:styleId="46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9"/>
    <w:uiPriority w:val="99"/>
  </w:style>
  <w:style w:type="table" w:styleId="49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4"/>
    <w:uiPriority w:val="99"/>
    <w:unhideWhenUsed/>
    <w:rPr>
      <w:vertAlign w:val="superscript"/>
    </w:rPr>
  </w:style>
  <w:style w:type="paragraph" w:styleId="178">
    <w:name w:val="endnote text"/>
    <w:basedOn w:val="66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4"/>
    <w:uiPriority w:val="99"/>
    <w:semiHidden/>
    <w:unhideWhenUsed/>
    <w:rPr>
      <w:vertAlign w:val="superscript"/>
    </w:rPr>
  </w:style>
  <w:style w:type="paragraph" w:styleId="181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qFormat/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character" w:styleId="667">
    <w:name w:val="Hyperlink"/>
    <w:basedOn w:val="664"/>
    <w:uiPriority w:val="99"/>
    <w:semiHidden/>
    <w:unhideWhenUsed/>
    <w:rPr>
      <w:color w:val="0000ff"/>
      <w:u w:val="single"/>
    </w:rPr>
  </w:style>
  <w:style w:type="paragraph" w:styleId="668">
    <w:name w:val="Normal (Web)"/>
    <w:basedOn w:val="66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9">
    <w:name w:val="No Spacing"/>
    <w:uiPriority w:val="1"/>
    <w:qFormat/>
    <w:pPr>
      <w:spacing w:after="0" w:line="240" w:lineRule="auto"/>
    </w:pPr>
    <w:rPr>
      <w:rFonts w:eastAsiaTheme="minorEastAsia"/>
      <w:lang w:val="uk-UA" w:eastAsia="uk-UA"/>
    </w:rPr>
  </w:style>
  <w:style w:type="paragraph" w:styleId="670" w:customStyle="1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671">
    <w:name w:val="Table Grid"/>
    <w:basedOn w:val="66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72" w:customStyle="1">
    <w:name w:val="fill"/>
    <w:basedOn w:val="664"/>
  </w:style>
  <w:style w:type="character" w:styleId="673">
    <w:name w:val="Emphasis"/>
    <w:basedOn w:val="664"/>
    <w:uiPriority w:val="20"/>
    <w:qFormat/>
    <w:rPr>
      <w:i/>
      <w:iCs/>
    </w:rPr>
  </w:style>
  <w:style w:type="character" w:styleId="674">
    <w:name w:val="Strong"/>
    <w:basedOn w:val="664"/>
    <w:uiPriority w:val="22"/>
    <w:qFormat/>
    <w:rPr>
      <w:b/>
      <w:bCs/>
    </w:rPr>
  </w:style>
  <w:style w:type="character" w:styleId="675" w:customStyle="1">
    <w:name w:val="sfwc"/>
    <w:basedOn w:val="664"/>
  </w:style>
  <w:style w:type="paragraph" w:styleId="676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77">
    <w:name w:val="Header"/>
    <w:basedOn w:val="663"/>
    <w:link w:val="67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8" w:customStyle="1">
    <w:name w:val="Верхний колонтитул Знак"/>
    <w:basedOn w:val="664"/>
    <w:link w:val="677"/>
    <w:uiPriority w:val="99"/>
  </w:style>
  <w:style w:type="paragraph" w:styleId="679">
    <w:name w:val="Footer"/>
    <w:basedOn w:val="663"/>
    <w:link w:val="68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0" w:customStyle="1">
    <w:name w:val="Нижний колонтитул Знак"/>
    <w:basedOn w:val="664"/>
    <w:link w:val="679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WOWPark _MAKH</cp:lastModifiedBy>
  <cp:revision>3</cp:revision>
  <dcterms:created xsi:type="dcterms:W3CDTF">2024-01-16T23:22:00Z</dcterms:created>
  <dcterms:modified xsi:type="dcterms:W3CDTF">2025-01-25T18:44:02Z</dcterms:modified>
</cp:coreProperties>
</file>